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黑体" w:hAnsi="宋体" w:eastAsia="黑体" w:cs="黑体"/>
          <w:color w:val="000000"/>
          <w:kern w:val="0"/>
          <w:sz w:val="48"/>
          <w:szCs w:val="48"/>
          <w:lang w:val="en-US" w:eastAsia="zh-CN" w:bidi="ar"/>
        </w:rPr>
      </w:pPr>
    </w:p>
    <w:p>
      <w:pPr>
        <w:keepNext w:val="0"/>
        <w:keepLines w:val="0"/>
        <w:widowControl/>
        <w:suppressLineNumbers w:val="0"/>
        <w:spacing w:line="240" w:lineRule="auto"/>
        <w:jc w:val="center"/>
        <w:rPr>
          <w:sz w:val="72"/>
          <w:szCs w:val="72"/>
        </w:rPr>
      </w:pPr>
      <w:r>
        <w:rPr>
          <w:rFonts w:ascii="黑体" w:hAnsi="宋体" w:eastAsia="黑体" w:cs="黑体"/>
          <w:color w:val="000000"/>
          <w:kern w:val="0"/>
          <w:sz w:val="72"/>
          <w:szCs w:val="72"/>
          <w:lang w:val="en-US" w:eastAsia="zh-CN" w:bidi="ar"/>
        </w:rPr>
        <w:t>本科临床医学专业认证</w:t>
      </w:r>
    </w:p>
    <w:p>
      <w:pPr>
        <w:keepNext w:val="0"/>
        <w:keepLines w:val="0"/>
        <w:widowControl/>
        <w:suppressLineNumbers w:val="0"/>
        <w:spacing w:line="240" w:lineRule="auto"/>
        <w:jc w:val="center"/>
        <w:rPr>
          <w:sz w:val="72"/>
          <w:szCs w:val="72"/>
        </w:rPr>
      </w:pPr>
      <w:r>
        <w:rPr>
          <w:rFonts w:hint="eastAsia" w:ascii="黑体" w:hAnsi="宋体" w:eastAsia="黑体" w:cs="黑体"/>
          <w:color w:val="000000"/>
          <w:kern w:val="0"/>
          <w:sz w:val="72"/>
          <w:szCs w:val="72"/>
          <w:lang w:val="en-US" w:eastAsia="zh-CN" w:bidi="ar"/>
        </w:rPr>
        <w:t>知识手册</w:t>
      </w:r>
    </w:p>
    <w:p>
      <w:pPr>
        <w:keepNext w:val="0"/>
        <w:keepLines w:val="0"/>
        <w:widowControl/>
        <w:suppressLineNumbers w:val="0"/>
        <w:jc w:val="center"/>
        <w:rPr>
          <w:sz w:val="48"/>
          <w:szCs w:val="48"/>
        </w:rPr>
      </w:pPr>
      <w:r>
        <w:rPr>
          <w:rFonts w:hint="eastAsia" w:ascii="黑体" w:hAnsi="宋体" w:eastAsia="黑体" w:cs="黑体"/>
          <w:color w:val="000000"/>
          <w:kern w:val="0"/>
          <w:sz w:val="48"/>
          <w:szCs w:val="48"/>
          <w:lang w:val="en-US" w:eastAsia="zh-CN" w:bidi="ar"/>
        </w:rPr>
        <w:t xml:space="preserve"> </w:t>
      </w:r>
    </w:p>
    <w:p>
      <w:pPr>
        <w:keepNext w:val="0"/>
        <w:keepLines w:val="0"/>
        <w:widowControl/>
        <w:suppressLineNumbers w:val="0"/>
        <w:jc w:val="center"/>
        <w:rPr>
          <w:sz w:val="44"/>
          <w:szCs w:val="44"/>
        </w:rPr>
      </w:pPr>
      <w:r>
        <w:rPr>
          <w:rFonts w:hint="default" w:ascii="Times New Roman" w:hAnsi="Times New Roman" w:eastAsia="宋体" w:cs="Times New Roman"/>
          <w:b/>
          <w:color w:val="000000"/>
          <w:kern w:val="0"/>
          <w:sz w:val="44"/>
          <w:szCs w:val="44"/>
          <w:lang w:val="en-US" w:eastAsia="zh-CN" w:bidi="ar"/>
        </w:rPr>
        <w:t>Handbook of</w:t>
      </w:r>
    </w:p>
    <w:p>
      <w:pPr>
        <w:keepNext w:val="0"/>
        <w:keepLines w:val="0"/>
        <w:widowControl/>
        <w:suppressLineNumbers w:val="0"/>
        <w:jc w:val="center"/>
        <w:rPr>
          <w:sz w:val="44"/>
          <w:szCs w:val="44"/>
        </w:rPr>
      </w:pPr>
      <w:r>
        <w:rPr>
          <w:rFonts w:hint="default" w:ascii="Times New Roman" w:hAnsi="Times New Roman" w:eastAsia="宋体" w:cs="Times New Roman"/>
          <w:b/>
          <w:color w:val="000000"/>
          <w:kern w:val="0"/>
          <w:sz w:val="44"/>
          <w:szCs w:val="44"/>
          <w:lang w:val="en-US" w:eastAsia="zh-CN" w:bidi="ar"/>
        </w:rPr>
        <w:t>Accreditation of Medical Education</w:t>
      </w: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r>
        <w:rPr>
          <w:rFonts w:hint="eastAsia" w:ascii="黑体" w:hAnsi="宋体" w:eastAsia="黑体" w:cs="黑体"/>
          <w:color w:val="000000"/>
          <w:kern w:val="0"/>
          <w:sz w:val="36"/>
          <w:szCs w:val="36"/>
          <w:lang w:val="en-US" w:eastAsia="zh-CN" w:bidi="ar"/>
        </w:rPr>
        <w:t xml:space="preserve"> </w:t>
      </w: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sz w:val="32"/>
          <w:szCs w:val="32"/>
        </w:rPr>
      </w:pPr>
      <w:r>
        <w:rPr>
          <w:rFonts w:hint="eastAsia" w:ascii="宋体" w:hAnsi="宋体" w:eastAsia="宋体" w:cs="宋体"/>
          <w:color w:val="000000"/>
          <w:kern w:val="0"/>
          <w:sz w:val="32"/>
          <w:szCs w:val="32"/>
          <w:lang w:val="en-US" w:eastAsia="zh-CN" w:bidi="ar"/>
        </w:rPr>
        <w:t>成都大学临床医学专业认证领导小组</w:t>
      </w:r>
    </w:p>
    <w:p>
      <w:pPr>
        <w:keepNext w:val="0"/>
        <w:keepLines w:val="0"/>
        <w:widowControl/>
        <w:suppressLineNumbers w:val="0"/>
        <w:jc w:val="center"/>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二零二零年九月</w:t>
      </w:r>
    </w:p>
    <w:p>
      <w:pPr>
        <w:keepNext w:val="0"/>
        <w:keepLines w:val="0"/>
        <w:widowControl/>
        <w:suppressLineNumbers w:val="0"/>
        <w:jc w:val="center"/>
        <w:rPr>
          <w:rFonts w:ascii="楷体" w:hAnsi="楷体" w:eastAsia="楷体" w:cs="楷体"/>
          <w:b/>
          <w:color w:val="000000"/>
          <w:kern w:val="0"/>
          <w:sz w:val="31"/>
          <w:szCs w:val="31"/>
          <w:lang w:val="en-US" w:eastAsia="zh-CN" w:bidi="ar"/>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4"/>
          <w:lang w:val="en-US" w:eastAsia="zh-CN" w:bidi="ar-SA"/>
        </w:rPr>
        <w:sectPr>
          <w:pgSz w:w="11906" w:h="16838"/>
          <w:pgMar w:top="1440" w:right="1800" w:bottom="1440" w:left="1800" w:header="851" w:footer="992" w:gutter="0"/>
          <w:pgNumType w:fmt="decimal" w:start="1"/>
          <w:cols w:space="425" w:num="1"/>
          <w:docGrid w:type="lines" w:linePitch="312" w:charSpace="0"/>
        </w:sectPr>
      </w:pPr>
    </w:p>
    <w:sdt>
      <w:sdtPr>
        <w:rPr>
          <w:rFonts w:ascii="宋体" w:hAnsi="宋体" w:eastAsia="宋体" w:cstheme="minorBidi"/>
          <w:kern w:val="2"/>
          <w:sz w:val="21"/>
          <w:szCs w:val="24"/>
          <w:lang w:val="en-US" w:eastAsia="zh-CN" w:bidi="ar-SA"/>
        </w:rPr>
        <w:id w:val="147465790"/>
        <w15:color w:val="DBDBDB"/>
        <w:docPartObj>
          <w:docPartGallery w:val="Table of Contents"/>
          <w:docPartUnique/>
        </w:docPartObj>
      </w:sdtPr>
      <w:sdtEndPr>
        <w:rPr>
          <w:rFonts w:asciiTheme="minorHAnsi" w:hAnsiTheme="minorHAnsi" w:eastAsiaTheme="minorEastAsia"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5"/>
            <w:tabs>
              <w:tab w:val="right" w:leader="dot" w:pos="8306"/>
            </w:tabs>
          </w:pPr>
          <w:r>
            <w:fldChar w:fldCharType="begin"/>
          </w:r>
          <w:r>
            <w:instrText xml:space="preserve">TOC \o "1-3" \h \u </w:instrText>
          </w:r>
          <w:r>
            <w:fldChar w:fldCharType="separate"/>
          </w:r>
          <w:r>
            <w:fldChar w:fldCharType="begin"/>
          </w:r>
          <w:r>
            <w:instrText xml:space="preserve"> HYPERLINK \l _Toc244 </w:instrText>
          </w:r>
          <w:r>
            <w:fldChar w:fldCharType="separate"/>
          </w:r>
          <w:r>
            <w:rPr>
              <w:rFonts w:hint="eastAsia" w:ascii="黑体" w:hAnsi="宋体" w:eastAsia="黑体" w:cs="黑体"/>
              <w:kern w:val="0"/>
              <w:szCs w:val="36"/>
              <w:lang w:val="en-US" w:eastAsia="zh-CN" w:bidi="ar"/>
            </w:rPr>
            <w:t>第一部分 医学专业认证基本知识</w:t>
          </w:r>
          <w:r>
            <w:tab/>
          </w:r>
          <w:r>
            <w:fldChar w:fldCharType="begin"/>
          </w:r>
          <w:r>
            <w:instrText xml:space="preserve"> PAGEREF _Toc244 </w:instrText>
          </w:r>
          <w:r>
            <w:fldChar w:fldCharType="separate"/>
          </w:r>
          <w:r>
            <w:t>3</w:t>
          </w:r>
          <w:r>
            <w:fldChar w:fldCharType="end"/>
          </w:r>
          <w:r>
            <w:fldChar w:fldCharType="end"/>
          </w:r>
        </w:p>
        <w:p>
          <w:pPr>
            <w:pStyle w:val="6"/>
            <w:tabs>
              <w:tab w:val="right" w:leader="dot" w:pos="8306"/>
            </w:tabs>
          </w:pPr>
          <w:r>
            <w:fldChar w:fldCharType="begin"/>
          </w:r>
          <w:r>
            <w:instrText xml:space="preserve"> HYPERLINK \l _Toc581 </w:instrText>
          </w:r>
          <w:r>
            <w:fldChar w:fldCharType="separate"/>
          </w:r>
          <w:r>
            <w:rPr>
              <w:rFonts w:hint="eastAsia" w:ascii="楷体" w:hAnsi="楷体" w:eastAsia="楷体" w:cs="楷体"/>
              <w:kern w:val="0"/>
              <w:szCs w:val="22"/>
              <w:lang w:val="en-US" w:eastAsia="zh-CN" w:bidi="ar"/>
            </w:rPr>
            <w:t>1. 什么是医学专业认证</w:t>
          </w:r>
          <w:r>
            <w:tab/>
          </w:r>
          <w:r>
            <w:fldChar w:fldCharType="begin"/>
          </w:r>
          <w:r>
            <w:instrText xml:space="preserve"> PAGEREF _Toc581 </w:instrText>
          </w:r>
          <w:r>
            <w:fldChar w:fldCharType="separate"/>
          </w:r>
          <w:r>
            <w:t>3</w:t>
          </w:r>
          <w:r>
            <w:fldChar w:fldCharType="end"/>
          </w:r>
          <w:r>
            <w:fldChar w:fldCharType="end"/>
          </w:r>
        </w:p>
        <w:p>
          <w:pPr>
            <w:pStyle w:val="6"/>
            <w:tabs>
              <w:tab w:val="right" w:leader="dot" w:pos="8306"/>
            </w:tabs>
          </w:pPr>
          <w:r>
            <w:fldChar w:fldCharType="begin"/>
          </w:r>
          <w:r>
            <w:instrText xml:space="preserve"> HYPERLINK \l _Toc32292 </w:instrText>
          </w:r>
          <w:r>
            <w:fldChar w:fldCharType="separate"/>
          </w:r>
          <w:r>
            <w:rPr>
              <w:rFonts w:hint="eastAsia" w:ascii="楷体" w:hAnsi="楷体" w:eastAsia="楷体" w:cs="楷体"/>
              <w:kern w:val="0"/>
              <w:szCs w:val="22"/>
              <w:lang w:val="en-US" w:eastAsia="zh-CN" w:bidi="ar"/>
            </w:rPr>
            <w:t>2．临床医学专业认证产生的背景</w:t>
          </w:r>
          <w:r>
            <w:tab/>
          </w:r>
          <w:r>
            <w:fldChar w:fldCharType="begin"/>
          </w:r>
          <w:r>
            <w:instrText xml:space="preserve"> PAGEREF _Toc32292 </w:instrText>
          </w:r>
          <w:r>
            <w:fldChar w:fldCharType="separate"/>
          </w:r>
          <w:r>
            <w:t>3</w:t>
          </w:r>
          <w:r>
            <w:fldChar w:fldCharType="end"/>
          </w:r>
          <w:r>
            <w:fldChar w:fldCharType="end"/>
          </w:r>
        </w:p>
        <w:p>
          <w:pPr>
            <w:pStyle w:val="6"/>
            <w:tabs>
              <w:tab w:val="right" w:leader="dot" w:pos="8306"/>
            </w:tabs>
          </w:pPr>
          <w:r>
            <w:fldChar w:fldCharType="begin"/>
          </w:r>
          <w:r>
            <w:instrText xml:space="preserve"> HYPERLINK \l _Toc24581 </w:instrText>
          </w:r>
          <w:r>
            <w:fldChar w:fldCharType="separate"/>
          </w:r>
          <w:r>
            <w:rPr>
              <w:rFonts w:hint="eastAsia" w:ascii="楷体" w:hAnsi="楷体" w:eastAsia="楷体" w:cs="楷体"/>
              <w:kern w:val="0"/>
              <w:szCs w:val="22"/>
              <w:lang w:val="en-US" w:eastAsia="zh-CN" w:bidi="ar"/>
            </w:rPr>
            <w:t>3．医学专业认证的组织部门、认证机构及认证标准</w:t>
          </w:r>
          <w:r>
            <w:tab/>
          </w:r>
          <w:r>
            <w:fldChar w:fldCharType="begin"/>
          </w:r>
          <w:r>
            <w:instrText xml:space="preserve"> PAGEREF _Toc24581 </w:instrText>
          </w:r>
          <w:r>
            <w:fldChar w:fldCharType="separate"/>
          </w:r>
          <w:r>
            <w:t>4</w:t>
          </w:r>
          <w:r>
            <w:fldChar w:fldCharType="end"/>
          </w:r>
          <w:r>
            <w:fldChar w:fldCharType="end"/>
          </w:r>
        </w:p>
        <w:p>
          <w:pPr>
            <w:pStyle w:val="6"/>
            <w:tabs>
              <w:tab w:val="right" w:leader="dot" w:pos="8306"/>
            </w:tabs>
          </w:pPr>
          <w:r>
            <w:fldChar w:fldCharType="begin"/>
          </w:r>
          <w:r>
            <w:instrText xml:space="preserve"> HYPERLINK \l _Toc31511 </w:instrText>
          </w:r>
          <w:r>
            <w:fldChar w:fldCharType="separate"/>
          </w:r>
          <w:r>
            <w:rPr>
              <w:rFonts w:hint="eastAsia" w:ascii="楷体" w:hAnsi="楷体" w:eastAsia="楷体" w:cs="楷体"/>
              <w:kern w:val="0"/>
              <w:szCs w:val="22"/>
              <w:lang w:val="en-US" w:eastAsia="zh-CN" w:bidi="ar"/>
            </w:rPr>
            <w:t>4. 专业认证的目的和意义</w:t>
          </w:r>
          <w:r>
            <w:tab/>
          </w:r>
          <w:r>
            <w:fldChar w:fldCharType="begin"/>
          </w:r>
          <w:r>
            <w:instrText xml:space="preserve"> PAGEREF _Toc31511 </w:instrText>
          </w:r>
          <w:r>
            <w:fldChar w:fldCharType="separate"/>
          </w:r>
          <w:r>
            <w:t>4</w:t>
          </w:r>
          <w:r>
            <w:fldChar w:fldCharType="end"/>
          </w:r>
          <w:r>
            <w:fldChar w:fldCharType="end"/>
          </w:r>
        </w:p>
        <w:p>
          <w:pPr>
            <w:pStyle w:val="6"/>
            <w:tabs>
              <w:tab w:val="right" w:leader="dot" w:pos="8306"/>
            </w:tabs>
          </w:pPr>
          <w:r>
            <w:fldChar w:fldCharType="begin"/>
          </w:r>
          <w:r>
            <w:instrText xml:space="preserve"> HYPERLINK \l _Toc25650 </w:instrText>
          </w:r>
          <w:r>
            <w:fldChar w:fldCharType="separate"/>
          </w:r>
          <w:r>
            <w:rPr>
              <w:rFonts w:hint="eastAsia" w:ascii="楷体" w:hAnsi="楷体" w:eastAsia="楷体" w:cs="楷体"/>
              <w:kern w:val="0"/>
              <w:szCs w:val="22"/>
              <w:lang w:val="en-US" w:eastAsia="zh-CN" w:bidi="ar"/>
            </w:rPr>
            <w:t>5. 我国临床医学专业认证现状及任务要求</w:t>
          </w:r>
          <w:r>
            <w:tab/>
          </w:r>
          <w:r>
            <w:fldChar w:fldCharType="begin"/>
          </w:r>
          <w:r>
            <w:instrText xml:space="preserve"> PAGEREF _Toc25650 </w:instrText>
          </w:r>
          <w:r>
            <w:fldChar w:fldCharType="separate"/>
          </w:r>
          <w:r>
            <w:t>5</w:t>
          </w:r>
          <w:r>
            <w:fldChar w:fldCharType="end"/>
          </w:r>
          <w:r>
            <w:fldChar w:fldCharType="end"/>
          </w:r>
        </w:p>
        <w:p>
          <w:pPr>
            <w:pStyle w:val="6"/>
            <w:tabs>
              <w:tab w:val="right" w:leader="dot" w:pos="8306"/>
            </w:tabs>
          </w:pPr>
          <w:r>
            <w:fldChar w:fldCharType="begin"/>
          </w:r>
          <w:r>
            <w:instrText xml:space="preserve"> HYPERLINK \l _Toc17561 </w:instrText>
          </w:r>
          <w:r>
            <w:fldChar w:fldCharType="separate"/>
          </w:r>
          <w:r>
            <w:rPr>
              <w:rFonts w:hint="eastAsia" w:ascii="楷体" w:hAnsi="楷体" w:eastAsia="楷体" w:cs="楷体"/>
              <w:kern w:val="0"/>
              <w:szCs w:val="22"/>
              <w:lang w:val="en-US" w:eastAsia="zh-CN" w:bidi="ar"/>
            </w:rPr>
            <w:t>6. 临床专业认证的原则</w:t>
          </w:r>
          <w:r>
            <w:tab/>
          </w:r>
          <w:r>
            <w:fldChar w:fldCharType="begin"/>
          </w:r>
          <w:r>
            <w:instrText xml:space="preserve"> PAGEREF _Toc17561 </w:instrText>
          </w:r>
          <w:r>
            <w:fldChar w:fldCharType="separate"/>
          </w:r>
          <w:r>
            <w:t>5</w:t>
          </w:r>
          <w:r>
            <w:fldChar w:fldCharType="end"/>
          </w:r>
          <w:r>
            <w:fldChar w:fldCharType="end"/>
          </w:r>
        </w:p>
        <w:p>
          <w:pPr>
            <w:pStyle w:val="2"/>
            <w:tabs>
              <w:tab w:val="right" w:leader="dot" w:pos="8306"/>
            </w:tabs>
          </w:pPr>
          <w:r>
            <w:fldChar w:fldCharType="begin"/>
          </w:r>
          <w:r>
            <w:instrText xml:space="preserve"> HYPERLINK \l _Toc12334 </w:instrText>
          </w:r>
          <w:r>
            <w:fldChar w:fldCharType="separate"/>
          </w:r>
          <w:r>
            <w:rPr>
              <w:rFonts w:hint="eastAsia" w:ascii="宋体" w:hAnsi="宋体" w:eastAsia="宋体" w:cs="宋体"/>
              <w:kern w:val="0"/>
              <w:szCs w:val="21"/>
              <w:lang w:val="en-US" w:eastAsia="zh-CN" w:bidi="ar"/>
            </w:rPr>
            <w:t>（</w:t>
          </w:r>
          <w:r>
            <w:rPr>
              <w:rFonts w:hint="default" w:ascii="Times New Roman" w:hAnsi="Times New Roman" w:eastAsia="宋体" w:cs="Times New Roman"/>
              <w:kern w:val="0"/>
              <w:szCs w:val="21"/>
              <w:lang w:val="en-US" w:eastAsia="zh-CN" w:bidi="ar"/>
            </w:rPr>
            <w:t>1</w:t>
          </w:r>
          <w:r>
            <w:rPr>
              <w:rFonts w:hint="eastAsia" w:ascii="宋体" w:hAnsi="宋体" w:eastAsia="宋体" w:cs="宋体"/>
              <w:kern w:val="0"/>
              <w:szCs w:val="21"/>
              <w:lang w:val="en-US" w:eastAsia="zh-CN" w:bidi="ar"/>
            </w:rPr>
            <w:t>）保证认证过程的独立性、客观性和公正性；</w:t>
          </w:r>
          <w:r>
            <w:tab/>
          </w:r>
          <w:r>
            <w:fldChar w:fldCharType="begin"/>
          </w:r>
          <w:r>
            <w:instrText xml:space="preserve"> PAGEREF _Toc12334 </w:instrText>
          </w:r>
          <w:r>
            <w:fldChar w:fldCharType="separate"/>
          </w:r>
          <w:r>
            <w:t>5</w:t>
          </w:r>
          <w:r>
            <w:fldChar w:fldCharType="end"/>
          </w:r>
          <w:r>
            <w:fldChar w:fldCharType="end"/>
          </w:r>
        </w:p>
        <w:p>
          <w:pPr>
            <w:pStyle w:val="2"/>
            <w:tabs>
              <w:tab w:val="right" w:leader="dot" w:pos="8306"/>
            </w:tabs>
          </w:pPr>
          <w:r>
            <w:fldChar w:fldCharType="begin"/>
          </w:r>
          <w:r>
            <w:instrText xml:space="preserve"> HYPERLINK \l _Toc26433 </w:instrText>
          </w:r>
          <w:r>
            <w:fldChar w:fldCharType="separate"/>
          </w:r>
          <w:r>
            <w:rPr>
              <w:rFonts w:hint="eastAsia" w:ascii="宋体" w:hAnsi="宋体" w:eastAsia="宋体" w:cs="宋体"/>
              <w:kern w:val="0"/>
              <w:szCs w:val="21"/>
              <w:lang w:val="en-US" w:eastAsia="zh-CN" w:bidi="ar"/>
            </w:rPr>
            <w:t>（</w:t>
          </w:r>
          <w:r>
            <w:rPr>
              <w:rFonts w:hint="default" w:ascii="Times New Roman" w:hAnsi="Times New Roman" w:eastAsia="宋体" w:cs="Times New Roman"/>
              <w:kern w:val="0"/>
              <w:szCs w:val="21"/>
              <w:lang w:val="en-US" w:eastAsia="zh-CN" w:bidi="ar"/>
            </w:rPr>
            <w:t>2</w:t>
          </w:r>
          <w:r>
            <w:rPr>
              <w:rFonts w:hint="eastAsia" w:ascii="宋体" w:hAnsi="宋体" w:eastAsia="宋体" w:cs="宋体"/>
              <w:kern w:val="0"/>
              <w:szCs w:val="21"/>
              <w:lang w:val="en-US" w:eastAsia="zh-CN" w:bidi="ar"/>
            </w:rPr>
            <w:t>）尊重教育机构的办学自主权和教育模式的多样性；</w:t>
          </w:r>
          <w:r>
            <w:tab/>
          </w:r>
          <w:r>
            <w:fldChar w:fldCharType="begin"/>
          </w:r>
          <w:r>
            <w:instrText xml:space="preserve"> PAGEREF _Toc26433 </w:instrText>
          </w:r>
          <w:r>
            <w:fldChar w:fldCharType="separate"/>
          </w:r>
          <w:r>
            <w:t>5</w:t>
          </w:r>
          <w:r>
            <w:fldChar w:fldCharType="end"/>
          </w:r>
          <w:r>
            <w:fldChar w:fldCharType="end"/>
          </w:r>
        </w:p>
        <w:p>
          <w:pPr>
            <w:pStyle w:val="2"/>
            <w:tabs>
              <w:tab w:val="right" w:leader="dot" w:pos="8306"/>
            </w:tabs>
          </w:pPr>
          <w:r>
            <w:fldChar w:fldCharType="begin"/>
          </w:r>
          <w:r>
            <w:instrText xml:space="preserve"> HYPERLINK \l _Toc13316 </w:instrText>
          </w:r>
          <w:r>
            <w:fldChar w:fldCharType="separate"/>
          </w:r>
          <w:r>
            <w:rPr>
              <w:rFonts w:hint="eastAsia" w:ascii="宋体" w:hAnsi="宋体" w:eastAsia="宋体" w:cs="宋体"/>
              <w:kern w:val="0"/>
              <w:szCs w:val="21"/>
              <w:lang w:val="en-US" w:eastAsia="zh-CN" w:bidi="ar"/>
            </w:rPr>
            <w:t>（</w:t>
          </w:r>
          <w:r>
            <w:rPr>
              <w:rFonts w:hint="default" w:ascii="Times New Roman" w:hAnsi="Times New Roman" w:eastAsia="宋体" w:cs="Times New Roman"/>
              <w:kern w:val="0"/>
              <w:szCs w:val="21"/>
              <w:lang w:val="en-US" w:eastAsia="zh-CN" w:bidi="ar"/>
            </w:rPr>
            <w:t>3</w:t>
          </w:r>
          <w:r>
            <w:rPr>
              <w:rFonts w:hint="eastAsia" w:ascii="宋体" w:hAnsi="宋体" w:eastAsia="宋体" w:cs="宋体"/>
              <w:kern w:val="0"/>
              <w:szCs w:val="21"/>
              <w:lang w:val="en-US" w:eastAsia="zh-CN" w:bidi="ar"/>
            </w:rPr>
            <w:t>）重点考察临床医学专业教育目标、办学标准和质量保障</w:t>
          </w:r>
          <w:r>
            <w:tab/>
          </w:r>
          <w:r>
            <w:fldChar w:fldCharType="begin"/>
          </w:r>
          <w:r>
            <w:instrText xml:space="preserve"> PAGEREF _Toc13316 </w:instrText>
          </w:r>
          <w:r>
            <w:fldChar w:fldCharType="separate"/>
          </w:r>
          <w:r>
            <w:t>5</w:t>
          </w:r>
          <w:r>
            <w:fldChar w:fldCharType="end"/>
          </w:r>
          <w:r>
            <w:fldChar w:fldCharType="end"/>
          </w:r>
        </w:p>
        <w:p>
          <w:pPr>
            <w:pStyle w:val="2"/>
            <w:tabs>
              <w:tab w:val="right" w:leader="dot" w:pos="8306"/>
            </w:tabs>
          </w:pPr>
          <w:r>
            <w:fldChar w:fldCharType="begin"/>
          </w:r>
          <w:r>
            <w:instrText xml:space="preserve"> HYPERLINK \l _Toc6516 </w:instrText>
          </w:r>
          <w:r>
            <w:fldChar w:fldCharType="separate"/>
          </w:r>
          <w:r>
            <w:rPr>
              <w:rFonts w:hint="eastAsia" w:ascii="宋体" w:hAnsi="宋体" w:eastAsia="宋体" w:cs="宋体"/>
              <w:kern w:val="0"/>
              <w:szCs w:val="21"/>
              <w:lang w:val="en-US" w:eastAsia="zh-CN" w:bidi="ar"/>
            </w:rPr>
            <w:t>（</w:t>
          </w:r>
          <w:r>
            <w:rPr>
              <w:rFonts w:hint="default" w:ascii="Times New Roman" w:hAnsi="Times New Roman" w:eastAsia="宋体" w:cs="Times New Roman"/>
              <w:kern w:val="0"/>
              <w:szCs w:val="21"/>
              <w:lang w:val="en-US" w:eastAsia="zh-CN" w:bidi="ar"/>
            </w:rPr>
            <w:t>4</w:t>
          </w:r>
          <w:r>
            <w:rPr>
              <w:rFonts w:hint="eastAsia" w:ascii="宋体" w:hAnsi="宋体" w:eastAsia="宋体" w:cs="宋体"/>
              <w:kern w:val="0"/>
              <w:szCs w:val="21"/>
              <w:lang w:val="en-US" w:eastAsia="zh-CN" w:bidi="ar"/>
            </w:rPr>
            <w:t>）确保认证标准的稳定性和认证程序的严肃性，在广泛收集客</w:t>
          </w:r>
          <w:r>
            <w:tab/>
          </w:r>
          <w:r>
            <w:fldChar w:fldCharType="begin"/>
          </w:r>
          <w:r>
            <w:instrText xml:space="preserve"> PAGEREF _Toc6516 </w:instrText>
          </w:r>
          <w:r>
            <w:fldChar w:fldCharType="separate"/>
          </w:r>
          <w:r>
            <w:t>5</w:t>
          </w:r>
          <w:r>
            <w:fldChar w:fldCharType="end"/>
          </w:r>
          <w:r>
            <w:fldChar w:fldCharType="end"/>
          </w:r>
        </w:p>
        <w:p>
          <w:pPr>
            <w:pStyle w:val="6"/>
            <w:tabs>
              <w:tab w:val="right" w:leader="dot" w:pos="8306"/>
            </w:tabs>
          </w:pPr>
          <w:r>
            <w:fldChar w:fldCharType="begin"/>
          </w:r>
          <w:r>
            <w:instrText xml:space="preserve"> HYPERLINK \l _Toc24806 </w:instrText>
          </w:r>
          <w:r>
            <w:fldChar w:fldCharType="separate"/>
          </w:r>
          <w:r>
            <w:rPr>
              <w:rFonts w:hint="eastAsia" w:ascii="楷体" w:hAnsi="楷体" w:eastAsia="楷体" w:cs="楷体"/>
              <w:kern w:val="0"/>
              <w:szCs w:val="22"/>
              <w:lang w:val="en-US" w:eastAsia="zh-CN" w:bidi="ar"/>
            </w:rPr>
            <w:t>7. 专业认证的关键</w:t>
          </w:r>
          <w:r>
            <w:tab/>
          </w:r>
          <w:r>
            <w:fldChar w:fldCharType="begin"/>
          </w:r>
          <w:r>
            <w:instrText xml:space="preserve"> PAGEREF _Toc24806 </w:instrText>
          </w:r>
          <w:r>
            <w:fldChar w:fldCharType="separate"/>
          </w:r>
          <w:r>
            <w:t>5</w:t>
          </w:r>
          <w:r>
            <w:fldChar w:fldCharType="end"/>
          </w:r>
          <w:r>
            <w:fldChar w:fldCharType="end"/>
          </w:r>
        </w:p>
        <w:p>
          <w:pPr>
            <w:pStyle w:val="6"/>
            <w:tabs>
              <w:tab w:val="right" w:leader="dot" w:pos="8306"/>
            </w:tabs>
          </w:pPr>
          <w:r>
            <w:fldChar w:fldCharType="begin"/>
          </w:r>
          <w:r>
            <w:instrText xml:space="preserve"> HYPERLINK \l _Toc21115 </w:instrText>
          </w:r>
          <w:r>
            <w:fldChar w:fldCharType="separate"/>
          </w:r>
          <w:r>
            <w:rPr>
              <w:rFonts w:hint="eastAsia" w:ascii="楷体" w:hAnsi="楷体" w:eastAsia="楷体" w:cs="楷体"/>
              <w:kern w:val="0"/>
              <w:szCs w:val="22"/>
              <w:lang w:val="en-US" w:eastAsia="zh-CN" w:bidi="ar"/>
            </w:rPr>
            <w:t>8. 专业认证的考察重点</w:t>
          </w:r>
          <w:r>
            <w:tab/>
          </w:r>
          <w:r>
            <w:fldChar w:fldCharType="begin"/>
          </w:r>
          <w:r>
            <w:instrText xml:space="preserve"> PAGEREF _Toc21115 </w:instrText>
          </w:r>
          <w:r>
            <w:fldChar w:fldCharType="separate"/>
          </w:r>
          <w:r>
            <w:t>5</w:t>
          </w:r>
          <w:r>
            <w:fldChar w:fldCharType="end"/>
          </w:r>
          <w:r>
            <w:fldChar w:fldCharType="end"/>
          </w:r>
        </w:p>
        <w:p>
          <w:pPr>
            <w:pStyle w:val="6"/>
            <w:tabs>
              <w:tab w:val="right" w:leader="dot" w:pos="8306"/>
            </w:tabs>
          </w:pPr>
          <w:r>
            <w:fldChar w:fldCharType="begin"/>
          </w:r>
          <w:r>
            <w:instrText xml:space="preserve"> HYPERLINK \l _Toc22640 </w:instrText>
          </w:r>
          <w:r>
            <w:fldChar w:fldCharType="separate"/>
          </w:r>
          <w:r>
            <w:rPr>
              <w:rFonts w:hint="eastAsia" w:ascii="楷体" w:hAnsi="楷体" w:eastAsia="楷体" w:cs="楷体"/>
              <w:kern w:val="0"/>
              <w:szCs w:val="22"/>
              <w:lang w:val="en-US" w:eastAsia="zh-CN" w:bidi="ar"/>
            </w:rPr>
            <w:t>9. 临床医学专业认证的形式</w:t>
          </w:r>
          <w:r>
            <w:tab/>
          </w:r>
          <w:r>
            <w:fldChar w:fldCharType="begin"/>
          </w:r>
          <w:r>
            <w:instrText xml:space="preserve"> PAGEREF _Toc22640 </w:instrText>
          </w:r>
          <w:r>
            <w:fldChar w:fldCharType="separate"/>
          </w:r>
          <w:r>
            <w:t>6</w:t>
          </w:r>
          <w:r>
            <w:fldChar w:fldCharType="end"/>
          </w:r>
          <w:r>
            <w:fldChar w:fldCharType="end"/>
          </w:r>
        </w:p>
        <w:p>
          <w:pPr>
            <w:pStyle w:val="6"/>
            <w:tabs>
              <w:tab w:val="right" w:leader="dot" w:pos="8306"/>
            </w:tabs>
          </w:pPr>
          <w:r>
            <w:fldChar w:fldCharType="begin"/>
          </w:r>
          <w:r>
            <w:instrText xml:space="preserve"> HYPERLINK \l _Toc24360 </w:instrText>
          </w:r>
          <w:r>
            <w:fldChar w:fldCharType="separate"/>
          </w:r>
          <w:r>
            <w:rPr>
              <w:rFonts w:hint="eastAsia" w:ascii="楷体" w:hAnsi="楷体" w:eastAsia="楷体" w:cs="楷体"/>
              <w:kern w:val="0"/>
              <w:szCs w:val="22"/>
              <w:lang w:val="en-US" w:eastAsia="zh-CN" w:bidi="ar"/>
            </w:rPr>
            <w:t>10. 专家组现场考查的目的和内容</w:t>
          </w:r>
          <w:r>
            <w:tab/>
          </w:r>
          <w:r>
            <w:fldChar w:fldCharType="begin"/>
          </w:r>
          <w:r>
            <w:instrText xml:space="preserve"> PAGEREF _Toc24360 </w:instrText>
          </w:r>
          <w:r>
            <w:fldChar w:fldCharType="separate"/>
          </w:r>
          <w:r>
            <w:t>6</w:t>
          </w:r>
          <w:r>
            <w:fldChar w:fldCharType="end"/>
          </w:r>
          <w:r>
            <w:fldChar w:fldCharType="end"/>
          </w:r>
        </w:p>
        <w:p>
          <w:pPr>
            <w:pStyle w:val="6"/>
            <w:tabs>
              <w:tab w:val="right" w:leader="dot" w:pos="8306"/>
            </w:tabs>
          </w:pPr>
          <w:r>
            <w:fldChar w:fldCharType="begin"/>
          </w:r>
          <w:r>
            <w:instrText xml:space="preserve"> HYPERLINK \l _Toc18213 </w:instrText>
          </w:r>
          <w:r>
            <w:fldChar w:fldCharType="separate"/>
          </w:r>
          <w:r>
            <w:rPr>
              <w:rFonts w:hint="eastAsia" w:ascii="楷体" w:hAnsi="楷体" w:eastAsia="楷体" w:cs="楷体"/>
              <w:kern w:val="0"/>
              <w:szCs w:val="22"/>
              <w:lang w:val="en-US" w:eastAsia="zh-CN" w:bidi="ar"/>
            </w:rPr>
            <w:t>11. 专家组如何召开座谈会</w:t>
          </w:r>
          <w:r>
            <w:tab/>
          </w:r>
          <w:r>
            <w:fldChar w:fldCharType="begin"/>
          </w:r>
          <w:r>
            <w:instrText xml:space="preserve"> PAGEREF _Toc18213 </w:instrText>
          </w:r>
          <w:r>
            <w:fldChar w:fldCharType="separate"/>
          </w:r>
          <w:r>
            <w:t>6</w:t>
          </w:r>
          <w:r>
            <w:fldChar w:fldCharType="end"/>
          </w:r>
          <w:r>
            <w:fldChar w:fldCharType="end"/>
          </w:r>
        </w:p>
        <w:p>
          <w:pPr>
            <w:pStyle w:val="6"/>
            <w:tabs>
              <w:tab w:val="right" w:leader="dot" w:pos="8306"/>
            </w:tabs>
          </w:pPr>
          <w:r>
            <w:fldChar w:fldCharType="begin"/>
          </w:r>
          <w:r>
            <w:instrText xml:space="preserve"> HYPERLINK \l _Toc2285 </w:instrText>
          </w:r>
          <w:r>
            <w:fldChar w:fldCharType="separate"/>
          </w:r>
          <w:r>
            <w:rPr>
              <w:rFonts w:hint="eastAsia" w:ascii="楷体" w:hAnsi="楷体" w:eastAsia="楷体" w:cs="楷体"/>
              <w:kern w:val="0"/>
              <w:szCs w:val="22"/>
              <w:lang w:val="en-US" w:eastAsia="zh-CN" w:bidi="ar"/>
            </w:rPr>
            <w:t>12.专业认证的结论</w:t>
          </w:r>
          <w:r>
            <w:tab/>
          </w:r>
          <w:r>
            <w:fldChar w:fldCharType="begin"/>
          </w:r>
          <w:r>
            <w:instrText xml:space="preserve"> PAGEREF _Toc2285 </w:instrText>
          </w:r>
          <w:r>
            <w:fldChar w:fldCharType="separate"/>
          </w:r>
          <w:r>
            <w:t>6</w:t>
          </w:r>
          <w:r>
            <w:fldChar w:fldCharType="end"/>
          </w:r>
          <w:r>
            <w:fldChar w:fldCharType="end"/>
          </w:r>
        </w:p>
        <w:p>
          <w:pPr>
            <w:pStyle w:val="2"/>
            <w:tabs>
              <w:tab w:val="right" w:leader="dot" w:pos="8306"/>
            </w:tabs>
          </w:pPr>
          <w:r>
            <w:fldChar w:fldCharType="begin"/>
          </w:r>
          <w:r>
            <w:instrText xml:space="preserve"> HYPERLINK \l _Toc19401 </w:instrText>
          </w:r>
          <w:r>
            <w:fldChar w:fldCharType="separate"/>
          </w:r>
          <w:r>
            <w:rPr>
              <w:rFonts w:hint="eastAsia" w:ascii="宋体" w:hAnsi="宋体" w:eastAsia="宋体" w:cs="宋体"/>
              <w:kern w:val="0"/>
              <w:szCs w:val="21"/>
              <w:lang w:val="en-US" w:eastAsia="zh-CN" w:bidi="ar"/>
            </w:rPr>
            <w:t>（一）通过认证</w:t>
          </w:r>
          <w:r>
            <w:tab/>
          </w:r>
          <w:r>
            <w:fldChar w:fldCharType="begin"/>
          </w:r>
          <w:r>
            <w:instrText xml:space="preserve"> PAGEREF _Toc19401 </w:instrText>
          </w:r>
          <w:r>
            <w:fldChar w:fldCharType="separate"/>
          </w:r>
          <w:r>
            <w:t>6</w:t>
          </w:r>
          <w:r>
            <w:fldChar w:fldCharType="end"/>
          </w:r>
          <w:r>
            <w:fldChar w:fldCharType="end"/>
          </w:r>
        </w:p>
        <w:p>
          <w:pPr>
            <w:pStyle w:val="2"/>
            <w:tabs>
              <w:tab w:val="right" w:leader="dot" w:pos="8306"/>
            </w:tabs>
          </w:pPr>
          <w:r>
            <w:fldChar w:fldCharType="begin"/>
          </w:r>
          <w:r>
            <w:instrText xml:space="preserve"> HYPERLINK \l _Toc19018 </w:instrText>
          </w:r>
          <w:r>
            <w:fldChar w:fldCharType="separate"/>
          </w:r>
          <w:r>
            <w:rPr>
              <w:rFonts w:hint="eastAsia" w:ascii="宋体" w:hAnsi="宋体" w:eastAsia="宋体" w:cs="宋体"/>
              <w:kern w:val="0"/>
              <w:szCs w:val="21"/>
              <w:lang w:val="en-US" w:eastAsia="zh-CN" w:bidi="ar"/>
            </w:rPr>
            <w:t>（二）不予认证</w:t>
          </w:r>
          <w:r>
            <w:tab/>
          </w:r>
          <w:r>
            <w:fldChar w:fldCharType="begin"/>
          </w:r>
          <w:r>
            <w:instrText xml:space="preserve"> PAGEREF _Toc19018 </w:instrText>
          </w:r>
          <w:r>
            <w:fldChar w:fldCharType="separate"/>
          </w:r>
          <w:r>
            <w:t>6</w:t>
          </w:r>
          <w:r>
            <w:fldChar w:fldCharType="end"/>
          </w:r>
          <w:r>
            <w:fldChar w:fldCharType="end"/>
          </w:r>
        </w:p>
        <w:p>
          <w:pPr>
            <w:pStyle w:val="6"/>
            <w:tabs>
              <w:tab w:val="right" w:leader="dot" w:pos="8306"/>
            </w:tabs>
          </w:pPr>
          <w:r>
            <w:fldChar w:fldCharType="begin"/>
          </w:r>
          <w:r>
            <w:instrText xml:space="preserve"> HYPERLINK \l _Toc6779 </w:instrText>
          </w:r>
          <w:r>
            <w:fldChar w:fldCharType="separate"/>
          </w:r>
          <w:r>
            <w:rPr>
              <w:rFonts w:hint="eastAsia" w:ascii="楷体" w:hAnsi="楷体" w:eastAsia="楷体" w:cs="楷体"/>
              <w:kern w:val="0"/>
              <w:szCs w:val="22"/>
              <w:lang w:val="en-US" w:eastAsia="zh-CN" w:bidi="ar"/>
            </w:rPr>
            <w:t>13. 申请认证的教育机构及其职责</w:t>
          </w:r>
          <w:r>
            <w:tab/>
          </w:r>
          <w:r>
            <w:fldChar w:fldCharType="begin"/>
          </w:r>
          <w:r>
            <w:instrText xml:space="preserve"> PAGEREF _Toc6779 </w:instrText>
          </w:r>
          <w:r>
            <w:fldChar w:fldCharType="separate"/>
          </w:r>
          <w:r>
            <w:t>7</w:t>
          </w:r>
          <w:r>
            <w:fldChar w:fldCharType="end"/>
          </w:r>
          <w:r>
            <w:fldChar w:fldCharType="end"/>
          </w:r>
        </w:p>
        <w:p>
          <w:pPr>
            <w:pStyle w:val="6"/>
            <w:tabs>
              <w:tab w:val="right" w:leader="dot" w:pos="8306"/>
            </w:tabs>
          </w:pPr>
          <w:r>
            <w:fldChar w:fldCharType="begin"/>
          </w:r>
          <w:r>
            <w:instrText xml:space="preserve"> HYPERLINK \l _Toc9207 </w:instrText>
          </w:r>
          <w:r>
            <w:fldChar w:fldCharType="separate"/>
          </w:r>
          <w:r>
            <w:rPr>
              <w:rFonts w:hint="eastAsia" w:ascii="楷体" w:hAnsi="楷体" w:eastAsia="楷体" w:cs="楷体"/>
              <w:kern w:val="0"/>
              <w:szCs w:val="22"/>
              <w:lang w:val="en-US" w:eastAsia="zh-CN" w:bidi="ar"/>
            </w:rPr>
            <w:t>14. 医学院校申请临床专业认证的态度</w:t>
          </w:r>
          <w:r>
            <w:tab/>
          </w:r>
          <w:r>
            <w:fldChar w:fldCharType="begin"/>
          </w:r>
          <w:r>
            <w:instrText xml:space="preserve"> PAGEREF _Toc9207 </w:instrText>
          </w:r>
          <w:r>
            <w:fldChar w:fldCharType="separate"/>
          </w:r>
          <w:r>
            <w:t>7</w:t>
          </w:r>
          <w:r>
            <w:fldChar w:fldCharType="end"/>
          </w:r>
          <w:r>
            <w:fldChar w:fldCharType="end"/>
          </w:r>
        </w:p>
        <w:p>
          <w:pPr>
            <w:pStyle w:val="6"/>
            <w:tabs>
              <w:tab w:val="right" w:leader="dot" w:pos="8306"/>
            </w:tabs>
          </w:pPr>
          <w:r>
            <w:fldChar w:fldCharType="begin"/>
          </w:r>
          <w:r>
            <w:instrText xml:space="preserve"> HYPERLINK \l _Toc16837 </w:instrText>
          </w:r>
          <w:r>
            <w:fldChar w:fldCharType="separate"/>
          </w:r>
          <w:r>
            <w:rPr>
              <w:rFonts w:hint="eastAsia" w:ascii="楷体" w:hAnsi="楷体" w:eastAsia="楷体" w:cs="楷体"/>
              <w:kern w:val="0"/>
              <w:szCs w:val="22"/>
              <w:lang w:val="en-US" w:eastAsia="zh-CN" w:bidi="ar"/>
            </w:rPr>
            <w:t>15. 我校接受临床医学专业认证的时间</w:t>
          </w:r>
          <w:r>
            <w:tab/>
          </w:r>
          <w:r>
            <w:fldChar w:fldCharType="begin"/>
          </w:r>
          <w:r>
            <w:instrText xml:space="preserve"> PAGEREF _Toc16837 </w:instrText>
          </w:r>
          <w:r>
            <w:fldChar w:fldCharType="separate"/>
          </w:r>
          <w:r>
            <w:t>7</w:t>
          </w:r>
          <w:r>
            <w:fldChar w:fldCharType="end"/>
          </w:r>
          <w:r>
            <w:fldChar w:fldCharType="end"/>
          </w:r>
        </w:p>
        <w:p>
          <w:pPr>
            <w:pStyle w:val="5"/>
            <w:tabs>
              <w:tab w:val="right" w:leader="dot" w:pos="8306"/>
            </w:tabs>
          </w:pPr>
          <w:r>
            <w:fldChar w:fldCharType="begin"/>
          </w:r>
          <w:r>
            <w:instrText xml:space="preserve"> HYPERLINK \l _Toc69 </w:instrText>
          </w:r>
          <w:r>
            <w:fldChar w:fldCharType="separate"/>
          </w:r>
          <w:r>
            <w:rPr>
              <w:rFonts w:hint="eastAsia" w:ascii="黑体" w:hAnsi="宋体" w:eastAsia="黑体" w:cs="黑体"/>
              <w:kern w:val="0"/>
              <w:szCs w:val="36"/>
              <w:lang w:val="en-US" w:eastAsia="zh-CN" w:bidi="ar"/>
            </w:rPr>
            <w:t>第二部分 《本科医学教育标准-临床医学专业》相关知识</w:t>
          </w:r>
          <w:r>
            <w:tab/>
          </w:r>
          <w:r>
            <w:fldChar w:fldCharType="begin"/>
          </w:r>
          <w:r>
            <w:instrText xml:space="preserve"> PAGEREF _Toc69 </w:instrText>
          </w:r>
          <w:r>
            <w:fldChar w:fldCharType="separate"/>
          </w:r>
          <w:r>
            <w:t>8</w:t>
          </w:r>
          <w:r>
            <w:fldChar w:fldCharType="end"/>
          </w:r>
          <w:r>
            <w:fldChar w:fldCharType="end"/>
          </w:r>
        </w:p>
        <w:p>
          <w:pPr>
            <w:pStyle w:val="6"/>
            <w:tabs>
              <w:tab w:val="right" w:leader="dot" w:pos="8306"/>
            </w:tabs>
          </w:pPr>
          <w:r>
            <w:fldChar w:fldCharType="begin"/>
          </w:r>
          <w:r>
            <w:instrText xml:space="preserve"> HYPERLINK \l _Toc26871 </w:instrText>
          </w:r>
          <w:r>
            <w:fldChar w:fldCharType="separate"/>
          </w:r>
          <w:r>
            <w:rPr>
              <w:rFonts w:hint="eastAsia" w:ascii="楷体" w:hAnsi="楷体" w:eastAsia="楷体" w:cs="楷体"/>
              <w:kern w:val="0"/>
              <w:szCs w:val="22"/>
              <w:lang w:val="en-US" w:eastAsia="zh-CN" w:bidi="ar"/>
            </w:rPr>
            <w:t>1.《本科医学教育标准</w:t>
          </w:r>
          <w:r>
            <w:rPr>
              <w:rFonts w:hint="default" w:ascii="Times New Roman" w:hAnsi="Times New Roman" w:eastAsia="宋体" w:cs="Times New Roman"/>
              <w:kern w:val="0"/>
              <w:szCs w:val="22"/>
              <w:lang w:val="en-US" w:eastAsia="zh-CN" w:bidi="ar"/>
            </w:rPr>
            <w:t>——</w:t>
          </w:r>
          <w:r>
            <w:rPr>
              <w:rFonts w:hint="eastAsia" w:ascii="楷体" w:hAnsi="楷体" w:eastAsia="楷体" w:cs="楷体"/>
              <w:kern w:val="0"/>
              <w:szCs w:val="22"/>
              <w:lang w:val="en-US" w:eastAsia="zh-CN" w:bidi="ar"/>
            </w:rPr>
            <w:t>临床医学专业（试行）》的制定依据和基础</w:t>
          </w:r>
          <w:r>
            <w:tab/>
          </w:r>
          <w:r>
            <w:fldChar w:fldCharType="begin"/>
          </w:r>
          <w:r>
            <w:instrText xml:space="preserve"> PAGEREF _Toc26871 </w:instrText>
          </w:r>
          <w:r>
            <w:fldChar w:fldCharType="separate"/>
          </w:r>
          <w:r>
            <w:t>8</w:t>
          </w:r>
          <w:r>
            <w:fldChar w:fldCharType="end"/>
          </w:r>
          <w:r>
            <w:fldChar w:fldCharType="end"/>
          </w:r>
        </w:p>
        <w:p>
          <w:pPr>
            <w:pStyle w:val="6"/>
            <w:tabs>
              <w:tab w:val="right" w:leader="dot" w:pos="8306"/>
            </w:tabs>
          </w:pPr>
          <w:r>
            <w:fldChar w:fldCharType="begin"/>
          </w:r>
          <w:r>
            <w:instrText xml:space="preserve"> HYPERLINK \l _Toc15998 </w:instrText>
          </w:r>
          <w:r>
            <w:fldChar w:fldCharType="separate"/>
          </w:r>
          <w:r>
            <w:rPr>
              <w:rFonts w:hint="eastAsia" w:ascii="楷体" w:hAnsi="楷体" w:eastAsia="楷体" w:cs="楷体"/>
              <w:kern w:val="0"/>
              <w:szCs w:val="22"/>
              <w:lang w:val="en-US" w:eastAsia="zh-CN" w:bidi="ar"/>
            </w:rPr>
            <w:t>2.《本科医学教育标准</w:t>
          </w:r>
          <w:r>
            <w:rPr>
              <w:rFonts w:hint="default" w:ascii="Times New Roman" w:hAnsi="Times New Roman" w:eastAsia="宋体" w:cs="Times New Roman"/>
              <w:kern w:val="0"/>
              <w:szCs w:val="22"/>
              <w:lang w:val="en-US" w:eastAsia="zh-CN" w:bidi="ar"/>
            </w:rPr>
            <w:t>—</w:t>
          </w:r>
          <w:r>
            <w:rPr>
              <w:rFonts w:hint="eastAsia" w:ascii="楷体" w:hAnsi="楷体" w:eastAsia="楷体" w:cs="楷体"/>
              <w:kern w:val="0"/>
              <w:szCs w:val="22"/>
              <w:lang w:val="en-US" w:eastAsia="zh-CN" w:bidi="ar"/>
            </w:rPr>
            <w:t>临床医学专业（试行）》（以下简称标准）的应用原则</w:t>
          </w:r>
          <w:r>
            <w:tab/>
          </w:r>
          <w:r>
            <w:fldChar w:fldCharType="begin"/>
          </w:r>
          <w:r>
            <w:instrText xml:space="preserve"> PAGEREF _Toc15998 </w:instrText>
          </w:r>
          <w:r>
            <w:fldChar w:fldCharType="separate"/>
          </w:r>
          <w:r>
            <w:t>8</w:t>
          </w:r>
          <w:r>
            <w:fldChar w:fldCharType="end"/>
          </w:r>
          <w:r>
            <w:fldChar w:fldCharType="end"/>
          </w:r>
        </w:p>
        <w:p>
          <w:pPr>
            <w:pStyle w:val="6"/>
            <w:tabs>
              <w:tab w:val="right" w:leader="dot" w:pos="8306"/>
            </w:tabs>
          </w:pPr>
          <w:r>
            <w:fldChar w:fldCharType="begin"/>
          </w:r>
          <w:r>
            <w:instrText xml:space="preserve"> HYPERLINK \l _Toc23172 </w:instrText>
          </w:r>
          <w:r>
            <w:fldChar w:fldCharType="separate"/>
          </w:r>
          <w:r>
            <w:rPr>
              <w:rFonts w:hint="eastAsia" w:ascii="楷体" w:hAnsi="楷体" w:eastAsia="楷体" w:cs="楷体"/>
              <w:kern w:val="0"/>
              <w:szCs w:val="22"/>
              <w:lang w:val="en-US" w:eastAsia="zh-CN" w:bidi="ar"/>
            </w:rPr>
            <w:t>3.本科临床医学专业教育的目标</w:t>
          </w:r>
          <w:r>
            <w:tab/>
          </w:r>
          <w:r>
            <w:fldChar w:fldCharType="begin"/>
          </w:r>
          <w:r>
            <w:instrText xml:space="preserve"> PAGEREF _Toc23172 </w:instrText>
          </w:r>
          <w:r>
            <w:fldChar w:fldCharType="separate"/>
          </w:r>
          <w:r>
            <w:t>8</w:t>
          </w:r>
          <w:r>
            <w:fldChar w:fldCharType="end"/>
          </w:r>
          <w:r>
            <w:fldChar w:fldCharType="end"/>
          </w:r>
        </w:p>
        <w:p>
          <w:pPr>
            <w:pStyle w:val="6"/>
            <w:tabs>
              <w:tab w:val="right" w:leader="dot" w:pos="8306"/>
            </w:tabs>
          </w:pPr>
          <w:r>
            <w:fldChar w:fldCharType="begin"/>
          </w:r>
          <w:r>
            <w:instrText xml:space="preserve"> HYPERLINK \l _Toc3663 </w:instrText>
          </w:r>
          <w:r>
            <w:fldChar w:fldCharType="separate"/>
          </w:r>
          <w:r>
            <w:rPr>
              <w:rFonts w:hint="eastAsia" w:ascii="楷体" w:hAnsi="楷体" w:eastAsia="楷体" w:cs="楷体"/>
              <w:kern w:val="0"/>
              <w:szCs w:val="22"/>
              <w:lang w:val="en-US" w:eastAsia="zh-CN" w:bidi="ar"/>
            </w:rPr>
            <w:t>4. 《标准》的适用对象</w:t>
          </w:r>
          <w:r>
            <w:tab/>
          </w:r>
          <w:r>
            <w:fldChar w:fldCharType="begin"/>
          </w:r>
          <w:r>
            <w:instrText xml:space="preserve"> PAGEREF _Toc3663 </w:instrText>
          </w:r>
          <w:r>
            <w:fldChar w:fldCharType="separate"/>
          </w:r>
          <w:r>
            <w:t>8</w:t>
          </w:r>
          <w:r>
            <w:fldChar w:fldCharType="end"/>
          </w:r>
          <w:r>
            <w:fldChar w:fldCharType="end"/>
          </w:r>
        </w:p>
        <w:p>
          <w:pPr>
            <w:pStyle w:val="6"/>
            <w:tabs>
              <w:tab w:val="right" w:leader="dot" w:pos="8306"/>
            </w:tabs>
          </w:pPr>
          <w:r>
            <w:fldChar w:fldCharType="begin"/>
          </w:r>
          <w:r>
            <w:instrText xml:space="preserve"> HYPERLINK \l _Toc583 </w:instrText>
          </w:r>
          <w:r>
            <w:fldChar w:fldCharType="separate"/>
          </w:r>
          <w:r>
            <w:rPr>
              <w:rFonts w:hint="eastAsia" w:ascii="楷体" w:hAnsi="楷体" w:eastAsia="楷体" w:cs="楷体"/>
              <w:kern w:val="0"/>
              <w:szCs w:val="22"/>
              <w:lang w:val="en-US" w:eastAsia="zh-CN" w:bidi="ar"/>
            </w:rPr>
            <w:t>5.《标准》对临床医学专业毕业生提出的基本要求</w:t>
          </w:r>
          <w:r>
            <w:tab/>
          </w:r>
          <w:r>
            <w:fldChar w:fldCharType="begin"/>
          </w:r>
          <w:r>
            <w:instrText xml:space="preserve"> PAGEREF _Toc583 </w:instrText>
          </w:r>
          <w:r>
            <w:fldChar w:fldCharType="separate"/>
          </w:r>
          <w:r>
            <w:t>8</w:t>
          </w:r>
          <w:r>
            <w:fldChar w:fldCharType="end"/>
          </w:r>
          <w:r>
            <w:fldChar w:fldCharType="end"/>
          </w:r>
        </w:p>
        <w:p>
          <w:pPr>
            <w:pStyle w:val="6"/>
            <w:tabs>
              <w:tab w:val="right" w:leader="dot" w:pos="8306"/>
            </w:tabs>
          </w:pPr>
          <w:r>
            <w:fldChar w:fldCharType="begin"/>
          </w:r>
          <w:r>
            <w:instrText xml:space="preserve"> HYPERLINK \l _Toc17284 </w:instrText>
          </w:r>
          <w:r>
            <w:fldChar w:fldCharType="separate"/>
          </w:r>
          <w:r>
            <w:rPr>
              <w:rFonts w:hint="eastAsia" w:ascii="楷体" w:hAnsi="楷体" w:eastAsia="楷体" w:cs="楷体"/>
              <w:kern w:val="0"/>
              <w:szCs w:val="22"/>
              <w:lang w:val="en-US" w:eastAsia="zh-CN" w:bidi="ar"/>
            </w:rPr>
            <w:t>6.《标准》对临床医学专业教育提出的基本标准</w:t>
          </w:r>
          <w:r>
            <w:tab/>
          </w:r>
          <w:r>
            <w:fldChar w:fldCharType="begin"/>
          </w:r>
          <w:r>
            <w:instrText xml:space="preserve"> PAGEREF _Toc17284 </w:instrText>
          </w:r>
          <w:r>
            <w:fldChar w:fldCharType="separate"/>
          </w:r>
          <w:r>
            <w:t>8</w:t>
          </w:r>
          <w:r>
            <w:fldChar w:fldCharType="end"/>
          </w:r>
          <w:r>
            <w:fldChar w:fldCharType="end"/>
          </w:r>
        </w:p>
        <w:p>
          <w:pPr>
            <w:pStyle w:val="6"/>
            <w:tabs>
              <w:tab w:val="right" w:leader="dot" w:pos="8306"/>
            </w:tabs>
          </w:pPr>
          <w:r>
            <w:fldChar w:fldCharType="begin"/>
          </w:r>
          <w:r>
            <w:instrText xml:space="preserve"> HYPERLINK \l _Toc1742 </w:instrText>
          </w:r>
          <w:r>
            <w:fldChar w:fldCharType="separate"/>
          </w:r>
          <w:r>
            <w:rPr>
              <w:rFonts w:hint="eastAsia" w:ascii="楷体" w:hAnsi="楷体" w:eastAsia="楷体" w:cs="楷体"/>
              <w:kern w:val="0"/>
              <w:szCs w:val="22"/>
              <w:lang w:val="en-US" w:eastAsia="zh-CN" w:bidi="ar"/>
            </w:rPr>
            <w:t>7. 确定办学宗旨和目标需要哪些方面人员的参与</w:t>
          </w:r>
          <w:r>
            <w:tab/>
          </w:r>
          <w:r>
            <w:fldChar w:fldCharType="begin"/>
          </w:r>
          <w:r>
            <w:instrText xml:space="preserve"> PAGEREF _Toc1742 </w:instrText>
          </w:r>
          <w:r>
            <w:fldChar w:fldCharType="separate"/>
          </w:r>
          <w:r>
            <w:t>9</w:t>
          </w:r>
          <w:r>
            <w:fldChar w:fldCharType="end"/>
          </w:r>
          <w:r>
            <w:fldChar w:fldCharType="end"/>
          </w:r>
        </w:p>
        <w:p>
          <w:pPr>
            <w:pStyle w:val="6"/>
            <w:tabs>
              <w:tab w:val="right" w:leader="dot" w:pos="8306"/>
            </w:tabs>
          </w:pPr>
          <w:r>
            <w:fldChar w:fldCharType="begin"/>
          </w:r>
          <w:r>
            <w:instrText xml:space="preserve"> HYPERLINK \l _Toc19612 </w:instrText>
          </w:r>
          <w:r>
            <w:fldChar w:fldCharType="separate"/>
          </w:r>
          <w:r>
            <w:rPr>
              <w:rFonts w:hint="eastAsia" w:ascii="楷体" w:hAnsi="楷体" w:eastAsia="楷体" w:cs="楷体"/>
              <w:kern w:val="0"/>
              <w:szCs w:val="22"/>
              <w:lang w:val="en-US" w:eastAsia="zh-CN" w:bidi="ar"/>
            </w:rPr>
            <w:t>8.《标准》对教育计划制定的要求</w:t>
          </w:r>
          <w:r>
            <w:tab/>
          </w:r>
          <w:r>
            <w:fldChar w:fldCharType="begin"/>
          </w:r>
          <w:r>
            <w:instrText xml:space="preserve"> PAGEREF _Toc19612 </w:instrText>
          </w:r>
          <w:r>
            <w:fldChar w:fldCharType="separate"/>
          </w:r>
          <w:r>
            <w:t>9</w:t>
          </w:r>
          <w:r>
            <w:fldChar w:fldCharType="end"/>
          </w:r>
          <w:r>
            <w:fldChar w:fldCharType="end"/>
          </w:r>
        </w:p>
        <w:p>
          <w:pPr>
            <w:pStyle w:val="6"/>
            <w:tabs>
              <w:tab w:val="right" w:leader="dot" w:pos="8306"/>
            </w:tabs>
          </w:pPr>
          <w:r>
            <w:fldChar w:fldCharType="begin"/>
          </w:r>
          <w:r>
            <w:instrText xml:space="preserve"> HYPERLINK \l _Toc7712 </w:instrText>
          </w:r>
          <w:r>
            <w:fldChar w:fldCharType="separate"/>
          </w:r>
          <w:r>
            <w:rPr>
              <w:rFonts w:hint="eastAsia" w:ascii="楷体" w:hAnsi="楷体" w:eastAsia="楷体" w:cs="楷体"/>
              <w:kern w:val="0"/>
              <w:szCs w:val="22"/>
              <w:lang w:val="en-US" w:eastAsia="zh-CN" w:bidi="ar"/>
            </w:rPr>
            <w:t>9.《标准》对课程计划的要求</w:t>
          </w:r>
          <w:r>
            <w:tab/>
          </w:r>
          <w:r>
            <w:fldChar w:fldCharType="begin"/>
          </w:r>
          <w:r>
            <w:instrText xml:space="preserve"> PAGEREF _Toc7712 </w:instrText>
          </w:r>
          <w:r>
            <w:fldChar w:fldCharType="separate"/>
          </w:r>
          <w:r>
            <w:t>9</w:t>
          </w:r>
          <w:r>
            <w:fldChar w:fldCharType="end"/>
          </w:r>
          <w:r>
            <w:fldChar w:fldCharType="end"/>
          </w:r>
        </w:p>
        <w:p>
          <w:pPr>
            <w:pStyle w:val="6"/>
            <w:tabs>
              <w:tab w:val="right" w:leader="dot" w:pos="8306"/>
            </w:tabs>
          </w:pPr>
          <w:r>
            <w:fldChar w:fldCharType="begin"/>
          </w:r>
          <w:r>
            <w:instrText xml:space="preserve"> HYPERLINK \l _Toc2812 </w:instrText>
          </w:r>
          <w:r>
            <w:fldChar w:fldCharType="separate"/>
          </w:r>
          <w:r>
            <w:rPr>
              <w:rFonts w:hint="eastAsia" w:ascii="楷体" w:hAnsi="楷体" w:eastAsia="楷体" w:cs="楷体"/>
              <w:kern w:val="0"/>
              <w:szCs w:val="22"/>
              <w:lang w:val="en-US" w:eastAsia="zh-CN" w:bidi="ar"/>
            </w:rPr>
            <w:t>10. 《标准》对教学方法改革的要求</w:t>
          </w:r>
          <w:r>
            <w:tab/>
          </w:r>
          <w:r>
            <w:fldChar w:fldCharType="begin"/>
          </w:r>
          <w:r>
            <w:instrText xml:space="preserve"> PAGEREF _Toc2812 </w:instrText>
          </w:r>
          <w:r>
            <w:fldChar w:fldCharType="separate"/>
          </w:r>
          <w:r>
            <w:t>9</w:t>
          </w:r>
          <w:r>
            <w:fldChar w:fldCharType="end"/>
          </w:r>
          <w:r>
            <w:fldChar w:fldCharType="end"/>
          </w:r>
        </w:p>
        <w:p>
          <w:pPr>
            <w:pStyle w:val="6"/>
            <w:tabs>
              <w:tab w:val="right" w:leader="dot" w:pos="8306"/>
            </w:tabs>
          </w:pPr>
          <w:r>
            <w:fldChar w:fldCharType="begin"/>
          </w:r>
          <w:r>
            <w:instrText xml:space="preserve"> HYPERLINK \l _Toc413 </w:instrText>
          </w:r>
          <w:r>
            <w:fldChar w:fldCharType="separate"/>
          </w:r>
          <w:r>
            <w:rPr>
              <w:rFonts w:hint="eastAsia" w:ascii="楷体" w:hAnsi="楷体" w:eastAsia="楷体" w:cs="楷体"/>
              <w:kern w:val="0"/>
              <w:szCs w:val="22"/>
              <w:lang w:val="en-US" w:eastAsia="zh-CN" w:bidi="ar"/>
            </w:rPr>
            <w:t>11.《标准》对六类课程设置的要求</w:t>
          </w:r>
          <w:r>
            <w:tab/>
          </w:r>
          <w:r>
            <w:fldChar w:fldCharType="begin"/>
          </w:r>
          <w:r>
            <w:instrText xml:space="preserve"> PAGEREF _Toc413 </w:instrText>
          </w:r>
          <w:r>
            <w:fldChar w:fldCharType="separate"/>
          </w:r>
          <w:r>
            <w:t>9</w:t>
          </w:r>
          <w:r>
            <w:fldChar w:fldCharType="end"/>
          </w:r>
          <w:r>
            <w:fldChar w:fldCharType="end"/>
          </w:r>
        </w:p>
        <w:p>
          <w:pPr>
            <w:pStyle w:val="6"/>
            <w:tabs>
              <w:tab w:val="right" w:leader="dot" w:pos="8306"/>
            </w:tabs>
          </w:pPr>
          <w:r>
            <w:fldChar w:fldCharType="begin"/>
          </w:r>
          <w:r>
            <w:instrText xml:space="preserve"> HYPERLINK \l _Toc465 </w:instrText>
          </w:r>
          <w:r>
            <w:fldChar w:fldCharType="separate"/>
          </w:r>
          <w:r>
            <w:rPr>
              <w:rFonts w:hint="eastAsia" w:ascii="楷体" w:hAnsi="楷体" w:eastAsia="楷体" w:cs="楷体"/>
              <w:kern w:val="0"/>
              <w:szCs w:val="22"/>
              <w:lang w:val="en-US" w:eastAsia="zh-CN" w:bidi="ar"/>
            </w:rPr>
            <w:t>12.《标准》对临床课程教学的具体要求</w:t>
          </w:r>
          <w:r>
            <w:tab/>
          </w:r>
          <w:r>
            <w:fldChar w:fldCharType="begin"/>
          </w:r>
          <w:r>
            <w:instrText xml:space="preserve"> PAGEREF _Toc465 </w:instrText>
          </w:r>
          <w:r>
            <w:fldChar w:fldCharType="separate"/>
          </w:r>
          <w:r>
            <w:t>10</w:t>
          </w:r>
          <w:r>
            <w:fldChar w:fldCharType="end"/>
          </w:r>
          <w:r>
            <w:fldChar w:fldCharType="end"/>
          </w:r>
        </w:p>
        <w:p>
          <w:pPr>
            <w:pStyle w:val="6"/>
            <w:tabs>
              <w:tab w:val="right" w:leader="dot" w:pos="8306"/>
            </w:tabs>
          </w:pPr>
          <w:r>
            <w:fldChar w:fldCharType="begin"/>
          </w:r>
          <w:r>
            <w:instrText xml:space="preserve"> HYPERLINK \l _Toc16865 </w:instrText>
          </w:r>
          <w:r>
            <w:fldChar w:fldCharType="separate"/>
          </w:r>
          <w:r>
            <w:rPr>
              <w:rFonts w:hint="eastAsia" w:ascii="楷体" w:hAnsi="楷体" w:eastAsia="楷体" w:cs="楷体"/>
              <w:kern w:val="0"/>
              <w:szCs w:val="22"/>
              <w:lang w:val="en-US" w:eastAsia="zh-CN" w:bidi="ar"/>
            </w:rPr>
            <w:t>13．关于自主学习</w:t>
          </w:r>
          <w:r>
            <w:tab/>
          </w:r>
          <w:r>
            <w:fldChar w:fldCharType="begin"/>
          </w:r>
          <w:r>
            <w:instrText xml:space="preserve"> PAGEREF _Toc16865 </w:instrText>
          </w:r>
          <w:r>
            <w:fldChar w:fldCharType="separate"/>
          </w:r>
          <w:r>
            <w:t>10</w:t>
          </w:r>
          <w:r>
            <w:fldChar w:fldCharType="end"/>
          </w:r>
          <w:r>
            <w:fldChar w:fldCharType="end"/>
          </w:r>
        </w:p>
        <w:p>
          <w:pPr>
            <w:pStyle w:val="6"/>
            <w:tabs>
              <w:tab w:val="right" w:leader="dot" w:pos="8306"/>
            </w:tabs>
          </w:pPr>
          <w:r>
            <w:fldChar w:fldCharType="begin"/>
          </w:r>
          <w:r>
            <w:instrText xml:space="preserve"> HYPERLINK \l _Toc14556 </w:instrText>
          </w:r>
          <w:r>
            <w:fldChar w:fldCharType="separate"/>
          </w:r>
          <w:r>
            <w:rPr>
              <w:rFonts w:hint="eastAsia" w:ascii="楷体" w:hAnsi="楷体" w:eastAsia="楷体" w:cs="楷体"/>
              <w:kern w:val="0"/>
              <w:szCs w:val="22"/>
              <w:lang w:val="en-US" w:eastAsia="zh-CN" w:bidi="ar"/>
            </w:rPr>
            <w:t>14．关于课程整合</w:t>
          </w:r>
          <w:r>
            <w:tab/>
          </w:r>
          <w:r>
            <w:fldChar w:fldCharType="begin"/>
          </w:r>
          <w:r>
            <w:instrText xml:space="preserve"> PAGEREF _Toc14556 </w:instrText>
          </w:r>
          <w:r>
            <w:fldChar w:fldCharType="separate"/>
          </w:r>
          <w:r>
            <w:t>10</w:t>
          </w:r>
          <w:r>
            <w:fldChar w:fldCharType="end"/>
          </w:r>
          <w:r>
            <w:fldChar w:fldCharType="end"/>
          </w:r>
        </w:p>
        <w:p>
          <w:pPr>
            <w:pStyle w:val="6"/>
            <w:tabs>
              <w:tab w:val="right" w:leader="dot" w:pos="8306"/>
            </w:tabs>
          </w:pPr>
          <w:r>
            <w:fldChar w:fldCharType="begin"/>
          </w:r>
          <w:r>
            <w:instrText xml:space="preserve"> HYPERLINK \l _Toc731 </w:instrText>
          </w:r>
          <w:r>
            <w:fldChar w:fldCharType="separate"/>
          </w:r>
          <w:r>
            <w:rPr>
              <w:rFonts w:hint="eastAsia" w:ascii="楷体" w:hAnsi="楷体" w:eastAsia="楷体" w:cs="楷体"/>
              <w:kern w:val="0"/>
              <w:szCs w:val="22"/>
              <w:lang w:val="en-US" w:eastAsia="zh-CN" w:bidi="ar"/>
            </w:rPr>
            <w:t>15. 《标准》对学生成绩评定体系的要求</w:t>
          </w:r>
          <w:r>
            <w:tab/>
          </w:r>
          <w:r>
            <w:fldChar w:fldCharType="begin"/>
          </w:r>
          <w:r>
            <w:instrText xml:space="preserve"> PAGEREF _Toc731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_Toc23227 </w:instrText>
          </w:r>
          <w:r>
            <w:fldChar w:fldCharType="separate"/>
          </w:r>
          <w:r>
            <w:rPr>
              <w:rFonts w:hint="eastAsia" w:ascii="楷体" w:hAnsi="楷体" w:eastAsia="楷体" w:cs="楷体"/>
              <w:kern w:val="0"/>
              <w:szCs w:val="22"/>
              <w:lang w:val="en-US" w:eastAsia="zh-CN" w:bidi="ar"/>
            </w:rPr>
            <w:t>16．考试与学习之间的关系</w:t>
          </w:r>
          <w:r>
            <w:tab/>
          </w:r>
          <w:r>
            <w:fldChar w:fldCharType="begin"/>
          </w:r>
          <w:r>
            <w:instrText xml:space="preserve"> PAGEREF _Toc23227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_Toc10611 </w:instrText>
          </w:r>
          <w:r>
            <w:fldChar w:fldCharType="separate"/>
          </w:r>
          <w:r>
            <w:rPr>
              <w:rFonts w:hint="eastAsia" w:ascii="楷体" w:hAnsi="楷体" w:eastAsia="楷体" w:cs="楷体"/>
              <w:kern w:val="0"/>
              <w:szCs w:val="22"/>
              <w:lang w:val="en-US" w:eastAsia="zh-CN" w:bidi="ar"/>
            </w:rPr>
            <w:t>17．《标准》对考试结果的分析与反馈的要求</w:t>
          </w:r>
          <w:r>
            <w:tab/>
          </w:r>
          <w:r>
            <w:fldChar w:fldCharType="begin"/>
          </w:r>
          <w:r>
            <w:instrText xml:space="preserve"> PAGEREF _Toc10611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_Toc4723 </w:instrText>
          </w:r>
          <w:r>
            <w:fldChar w:fldCharType="separate"/>
          </w:r>
          <w:r>
            <w:rPr>
              <w:rFonts w:hint="eastAsia" w:ascii="楷体" w:hAnsi="楷体" w:eastAsia="楷体" w:cs="楷体"/>
              <w:kern w:val="0"/>
              <w:szCs w:val="22"/>
              <w:lang w:val="en-US" w:eastAsia="zh-CN" w:bidi="ar"/>
            </w:rPr>
            <w:t>18．《标准》对提供学生支持与咨询服务的要求</w:t>
          </w:r>
          <w:r>
            <w:tab/>
          </w:r>
          <w:r>
            <w:fldChar w:fldCharType="begin"/>
          </w:r>
          <w:r>
            <w:instrText xml:space="preserve"> PAGEREF _Toc4723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_Toc3948 </w:instrText>
          </w:r>
          <w:r>
            <w:fldChar w:fldCharType="separate"/>
          </w:r>
          <w:r>
            <w:rPr>
              <w:rFonts w:hint="eastAsia" w:ascii="楷体" w:hAnsi="楷体" w:eastAsia="楷体" w:cs="楷体"/>
              <w:kern w:val="0"/>
              <w:szCs w:val="22"/>
              <w:lang w:val="en-US" w:eastAsia="zh-CN" w:bidi="ar"/>
            </w:rPr>
            <w:t>19．《标准》对吸收学生代表参与学校事务管理的要求</w:t>
          </w:r>
          <w:r>
            <w:tab/>
          </w:r>
          <w:r>
            <w:fldChar w:fldCharType="begin"/>
          </w:r>
          <w:r>
            <w:instrText xml:space="preserve"> PAGEREF _Toc3948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_Toc2625 </w:instrText>
          </w:r>
          <w:r>
            <w:fldChar w:fldCharType="separate"/>
          </w:r>
          <w:r>
            <w:rPr>
              <w:rFonts w:hint="eastAsia" w:ascii="楷体" w:hAnsi="楷体" w:eastAsia="楷体" w:cs="楷体"/>
              <w:kern w:val="0"/>
              <w:szCs w:val="22"/>
              <w:lang w:val="en-US" w:eastAsia="zh-CN" w:bidi="ar"/>
            </w:rPr>
            <w:t>20．临床教学基地的三种类型</w:t>
          </w:r>
          <w:r>
            <w:tab/>
          </w:r>
          <w:r>
            <w:fldChar w:fldCharType="begin"/>
          </w:r>
          <w:r>
            <w:instrText xml:space="preserve"> PAGEREF _Toc2625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_Toc14195 </w:instrText>
          </w:r>
          <w:r>
            <w:fldChar w:fldCharType="separate"/>
          </w:r>
          <w:r>
            <w:rPr>
              <w:rFonts w:hint="eastAsia" w:ascii="楷体" w:hAnsi="楷体" w:eastAsia="楷体" w:cs="楷体"/>
              <w:kern w:val="0"/>
              <w:szCs w:val="22"/>
              <w:lang w:val="en-US" w:eastAsia="zh-CN" w:bidi="ar"/>
            </w:rPr>
            <w:t>21．学校教育交流的方式</w:t>
          </w:r>
          <w:r>
            <w:tab/>
          </w:r>
          <w:r>
            <w:fldChar w:fldCharType="begin"/>
          </w:r>
          <w:r>
            <w:instrText xml:space="preserve"> PAGEREF _Toc14195 </w:instrText>
          </w:r>
          <w:r>
            <w:fldChar w:fldCharType="separate"/>
          </w:r>
          <w:r>
            <w:t>12</w:t>
          </w:r>
          <w:r>
            <w:fldChar w:fldCharType="end"/>
          </w:r>
          <w:r>
            <w:fldChar w:fldCharType="end"/>
          </w:r>
        </w:p>
        <w:p>
          <w:pPr>
            <w:pStyle w:val="6"/>
            <w:tabs>
              <w:tab w:val="right" w:leader="dot" w:pos="8306"/>
            </w:tabs>
          </w:pPr>
          <w:r>
            <w:fldChar w:fldCharType="begin"/>
          </w:r>
          <w:r>
            <w:instrText xml:space="preserve"> HYPERLINK \l _Toc15869 </w:instrText>
          </w:r>
          <w:r>
            <w:fldChar w:fldCharType="separate"/>
          </w:r>
          <w:r>
            <w:rPr>
              <w:rFonts w:hint="eastAsia" w:ascii="楷体" w:hAnsi="楷体" w:eastAsia="楷体" w:cs="楷体"/>
              <w:kern w:val="0"/>
              <w:szCs w:val="22"/>
              <w:lang w:val="en-US" w:eastAsia="zh-CN" w:bidi="ar"/>
            </w:rPr>
            <w:t>22．《标准》对利益方参与教育与教学评价的要求</w:t>
          </w:r>
          <w:r>
            <w:tab/>
          </w:r>
          <w:r>
            <w:fldChar w:fldCharType="begin"/>
          </w:r>
          <w:r>
            <w:instrText xml:space="preserve"> PAGEREF _Toc15869 </w:instrText>
          </w:r>
          <w:r>
            <w:fldChar w:fldCharType="separate"/>
          </w:r>
          <w:r>
            <w:t>12</w:t>
          </w:r>
          <w:r>
            <w:fldChar w:fldCharType="end"/>
          </w:r>
          <w:r>
            <w:fldChar w:fldCharType="end"/>
          </w:r>
        </w:p>
        <w:p>
          <w:pPr>
            <w:pStyle w:val="6"/>
            <w:tabs>
              <w:tab w:val="right" w:leader="dot" w:pos="8306"/>
            </w:tabs>
          </w:pPr>
          <w:r>
            <w:fldChar w:fldCharType="begin"/>
          </w:r>
          <w:r>
            <w:instrText xml:space="preserve"> HYPERLINK \l _Toc2671 </w:instrText>
          </w:r>
          <w:r>
            <w:fldChar w:fldCharType="separate"/>
          </w:r>
          <w:r>
            <w:rPr>
              <w:rFonts w:hint="eastAsia" w:ascii="楷体" w:hAnsi="楷体" w:eastAsia="楷体" w:cs="楷体"/>
              <w:kern w:val="0"/>
              <w:szCs w:val="22"/>
              <w:lang w:val="en-US" w:eastAsia="zh-CN" w:bidi="ar"/>
            </w:rPr>
            <w:t>23．《标准》对学生参与科学研究活动有哪些要求？</w:t>
          </w:r>
          <w:r>
            <w:tab/>
          </w:r>
          <w:r>
            <w:fldChar w:fldCharType="begin"/>
          </w:r>
          <w:r>
            <w:instrText xml:space="preserve"> PAGEREF _Toc2671 </w:instrText>
          </w:r>
          <w:r>
            <w:fldChar w:fldCharType="separate"/>
          </w:r>
          <w:r>
            <w:t>12</w:t>
          </w:r>
          <w:r>
            <w:fldChar w:fldCharType="end"/>
          </w:r>
          <w:r>
            <w:fldChar w:fldCharType="end"/>
          </w:r>
        </w:p>
        <w:p>
          <w:pPr>
            <w:pStyle w:val="5"/>
            <w:tabs>
              <w:tab w:val="right" w:leader="dot" w:pos="8306"/>
            </w:tabs>
          </w:pPr>
          <w:r>
            <w:fldChar w:fldCharType="begin"/>
          </w:r>
          <w:r>
            <w:instrText xml:space="preserve"> HYPERLINK \l _Toc9623 </w:instrText>
          </w:r>
          <w:r>
            <w:fldChar w:fldCharType="separate"/>
          </w:r>
          <w:r>
            <w:rPr>
              <w:rFonts w:hint="eastAsia" w:ascii="黑体" w:hAnsi="宋体" w:eastAsia="黑体" w:cs="黑体"/>
              <w:kern w:val="0"/>
              <w:szCs w:val="36"/>
              <w:lang w:val="en-US" w:eastAsia="zh-CN" w:bidi="ar"/>
            </w:rPr>
            <w:t>第三部分 成都大学临床医学专业相关知识</w:t>
          </w:r>
          <w:r>
            <w:tab/>
          </w:r>
          <w:r>
            <w:fldChar w:fldCharType="begin"/>
          </w:r>
          <w:r>
            <w:instrText xml:space="preserve"> PAGEREF _Toc9623 </w:instrText>
          </w:r>
          <w:r>
            <w:fldChar w:fldCharType="separate"/>
          </w:r>
          <w:r>
            <w:t>13</w:t>
          </w:r>
          <w:r>
            <w:fldChar w:fldCharType="end"/>
          </w:r>
          <w:r>
            <w:fldChar w:fldCharType="end"/>
          </w:r>
        </w:p>
        <w:p>
          <w:pPr>
            <w:pStyle w:val="6"/>
            <w:tabs>
              <w:tab w:val="right" w:leader="dot" w:pos="8306"/>
            </w:tabs>
          </w:pPr>
          <w:r>
            <w:fldChar w:fldCharType="begin"/>
          </w:r>
          <w:r>
            <w:instrText xml:space="preserve"> HYPERLINK \l _Toc12435 </w:instrText>
          </w:r>
          <w:r>
            <w:fldChar w:fldCharType="separate"/>
          </w:r>
          <w:r>
            <w:rPr>
              <w:rFonts w:hint="eastAsia" w:ascii="楷体" w:hAnsi="楷体" w:eastAsia="楷体" w:cs="楷体"/>
              <w:kern w:val="0"/>
              <w:szCs w:val="22"/>
              <w:lang w:val="en-US" w:eastAsia="zh-CN" w:bidi="ar"/>
            </w:rPr>
            <w:t>1.办学情况</w:t>
          </w:r>
          <w:r>
            <w:tab/>
          </w:r>
          <w:r>
            <w:fldChar w:fldCharType="begin"/>
          </w:r>
          <w:r>
            <w:instrText xml:space="preserve"> PAGEREF _Toc12435 </w:instrText>
          </w:r>
          <w:r>
            <w:fldChar w:fldCharType="separate"/>
          </w:r>
          <w:r>
            <w:t>13</w:t>
          </w:r>
          <w:r>
            <w:fldChar w:fldCharType="end"/>
          </w:r>
          <w:r>
            <w:fldChar w:fldCharType="end"/>
          </w:r>
        </w:p>
        <w:p>
          <w:pPr>
            <w:pStyle w:val="6"/>
            <w:tabs>
              <w:tab w:val="right" w:leader="dot" w:pos="8306"/>
            </w:tabs>
          </w:pPr>
          <w:r>
            <w:fldChar w:fldCharType="begin"/>
          </w:r>
          <w:r>
            <w:instrText xml:space="preserve"> HYPERLINK \l _Toc8309 </w:instrText>
          </w:r>
          <w:r>
            <w:fldChar w:fldCharType="separate"/>
          </w:r>
          <w:r>
            <w:rPr>
              <w:rFonts w:hint="eastAsia" w:ascii="楷体" w:hAnsi="楷体" w:eastAsia="楷体" w:cs="楷体"/>
              <w:kern w:val="0"/>
              <w:szCs w:val="22"/>
              <w:lang w:val="en-US" w:eastAsia="zh-CN" w:bidi="ar"/>
            </w:rPr>
            <w:t>2.临床医学专业的培养目标及质量标准</w:t>
          </w:r>
          <w:r>
            <w:tab/>
          </w:r>
          <w:r>
            <w:fldChar w:fldCharType="begin"/>
          </w:r>
          <w:r>
            <w:instrText xml:space="preserve"> PAGEREF _Toc8309 </w:instrText>
          </w:r>
          <w:r>
            <w:fldChar w:fldCharType="separate"/>
          </w:r>
          <w:r>
            <w:t>13</w:t>
          </w:r>
          <w:r>
            <w:fldChar w:fldCharType="end"/>
          </w:r>
          <w:r>
            <w:fldChar w:fldCharType="end"/>
          </w:r>
        </w:p>
        <w:p>
          <w:pPr>
            <w:pStyle w:val="6"/>
            <w:tabs>
              <w:tab w:val="right" w:leader="dot" w:pos="8306"/>
            </w:tabs>
          </w:pPr>
          <w:r>
            <w:fldChar w:fldCharType="begin"/>
          </w:r>
          <w:r>
            <w:instrText xml:space="preserve"> HYPERLINK \l _Toc27585 </w:instrText>
          </w:r>
          <w:r>
            <w:fldChar w:fldCharType="separate"/>
          </w:r>
          <w:r>
            <w:rPr>
              <w:rFonts w:hint="eastAsia" w:ascii="楷体" w:hAnsi="楷体" w:eastAsia="楷体" w:cs="楷体"/>
              <w:kern w:val="0"/>
              <w:szCs w:val="22"/>
              <w:lang w:val="en-US" w:eastAsia="zh-CN" w:bidi="ar"/>
            </w:rPr>
            <w:t>3.临床医学专业学制与教学环节</w:t>
          </w:r>
          <w:r>
            <w:tab/>
          </w:r>
          <w:r>
            <w:fldChar w:fldCharType="begin"/>
          </w:r>
          <w:r>
            <w:instrText xml:space="preserve"> PAGEREF _Toc27585 </w:instrText>
          </w:r>
          <w:r>
            <w:fldChar w:fldCharType="separate"/>
          </w:r>
          <w:r>
            <w:t>13</w:t>
          </w:r>
          <w:r>
            <w:fldChar w:fldCharType="end"/>
          </w:r>
          <w:r>
            <w:fldChar w:fldCharType="end"/>
          </w:r>
        </w:p>
        <w:p>
          <w:pPr>
            <w:pStyle w:val="6"/>
            <w:tabs>
              <w:tab w:val="right" w:leader="dot" w:pos="8306"/>
            </w:tabs>
          </w:pPr>
          <w:r>
            <w:fldChar w:fldCharType="begin"/>
          </w:r>
          <w:r>
            <w:instrText xml:space="preserve"> HYPERLINK \l _Toc4277 </w:instrText>
          </w:r>
          <w:r>
            <w:fldChar w:fldCharType="separate"/>
          </w:r>
          <w:r>
            <w:rPr>
              <w:rFonts w:hint="eastAsia" w:ascii="楷体" w:hAnsi="楷体" w:eastAsia="楷体" w:cs="楷体"/>
              <w:kern w:val="0"/>
              <w:szCs w:val="22"/>
              <w:lang w:val="en-US" w:eastAsia="zh-CN" w:bidi="ar"/>
            </w:rPr>
            <w:t>4.教师数量和结构</w:t>
          </w:r>
          <w:r>
            <w:tab/>
          </w:r>
          <w:r>
            <w:fldChar w:fldCharType="begin"/>
          </w:r>
          <w:r>
            <w:instrText xml:space="preserve"> PAGEREF _Toc4277 </w:instrText>
          </w:r>
          <w:r>
            <w:fldChar w:fldCharType="separate"/>
          </w:r>
          <w:r>
            <w:t>13</w:t>
          </w:r>
          <w:r>
            <w:fldChar w:fldCharType="end"/>
          </w:r>
          <w:r>
            <w:fldChar w:fldCharType="end"/>
          </w:r>
        </w:p>
        <w:p>
          <w:pPr>
            <w:pStyle w:val="6"/>
            <w:tabs>
              <w:tab w:val="right" w:leader="dot" w:pos="8306"/>
            </w:tabs>
          </w:pPr>
          <w:r>
            <w:fldChar w:fldCharType="begin"/>
          </w:r>
          <w:r>
            <w:instrText xml:space="preserve"> HYPERLINK \l _Toc17981 </w:instrText>
          </w:r>
          <w:r>
            <w:fldChar w:fldCharType="separate"/>
          </w:r>
          <w:r>
            <w:rPr>
              <w:rFonts w:hint="eastAsia" w:ascii="楷体" w:hAnsi="楷体" w:eastAsia="楷体" w:cs="楷体"/>
              <w:kern w:val="0"/>
              <w:szCs w:val="22"/>
              <w:lang w:val="en-US" w:eastAsia="zh-CN" w:bidi="ar"/>
            </w:rPr>
            <w:t>5.临床教学基地师资培训与培养</w:t>
          </w:r>
          <w:r>
            <w:tab/>
          </w:r>
          <w:r>
            <w:fldChar w:fldCharType="begin"/>
          </w:r>
          <w:r>
            <w:instrText xml:space="preserve"> PAGEREF _Toc17981 </w:instrText>
          </w:r>
          <w:r>
            <w:fldChar w:fldCharType="separate"/>
          </w:r>
          <w:r>
            <w:t>13</w:t>
          </w:r>
          <w:r>
            <w:fldChar w:fldCharType="end"/>
          </w:r>
          <w:r>
            <w:fldChar w:fldCharType="end"/>
          </w:r>
        </w:p>
        <w:p>
          <w:pPr>
            <w:pStyle w:val="6"/>
            <w:tabs>
              <w:tab w:val="right" w:leader="dot" w:pos="8306"/>
            </w:tabs>
          </w:pPr>
          <w:r>
            <w:fldChar w:fldCharType="begin"/>
          </w:r>
          <w:r>
            <w:instrText xml:space="preserve"> HYPERLINK \l _Toc19882 </w:instrText>
          </w:r>
          <w:r>
            <w:fldChar w:fldCharType="separate"/>
          </w:r>
          <w:r>
            <w:rPr>
              <w:rFonts w:hint="eastAsia" w:ascii="楷体" w:hAnsi="楷体" w:eastAsia="楷体" w:cs="楷体"/>
              <w:kern w:val="0"/>
              <w:szCs w:val="22"/>
              <w:lang w:val="en-US" w:eastAsia="zh-CN" w:bidi="ar"/>
            </w:rPr>
            <w:t>6.招生规模</w:t>
          </w:r>
          <w:r>
            <w:tab/>
          </w:r>
          <w:r>
            <w:fldChar w:fldCharType="begin"/>
          </w:r>
          <w:r>
            <w:instrText xml:space="preserve"> PAGEREF _Toc19882 </w:instrText>
          </w:r>
          <w:r>
            <w:fldChar w:fldCharType="separate"/>
          </w:r>
          <w:r>
            <w:t>14</w:t>
          </w:r>
          <w:r>
            <w:fldChar w:fldCharType="end"/>
          </w:r>
          <w:r>
            <w:fldChar w:fldCharType="end"/>
          </w:r>
        </w:p>
        <w:p>
          <w:pPr>
            <w:pStyle w:val="6"/>
            <w:tabs>
              <w:tab w:val="right" w:leader="dot" w:pos="8306"/>
            </w:tabs>
          </w:pPr>
          <w:r>
            <w:fldChar w:fldCharType="begin"/>
          </w:r>
          <w:r>
            <w:instrText xml:space="preserve"> HYPERLINK \l _Toc16323 </w:instrText>
          </w:r>
          <w:r>
            <w:fldChar w:fldCharType="separate"/>
          </w:r>
          <w:r>
            <w:rPr>
              <w:rFonts w:hint="eastAsia" w:ascii="楷体" w:hAnsi="楷体" w:eastAsia="楷体" w:cs="楷体"/>
              <w:kern w:val="0"/>
              <w:szCs w:val="22"/>
              <w:lang w:val="en-US" w:eastAsia="zh-CN" w:bidi="ar"/>
            </w:rPr>
            <w:t>7.生源质量</w:t>
          </w:r>
          <w:r>
            <w:tab/>
          </w:r>
          <w:r>
            <w:fldChar w:fldCharType="begin"/>
          </w:r>
          <w:r>
            <w:instrText xml:space="preserve"> PAGEREF _Toc16323 </w:instrText>
          </w:r>
          <w:r>
            <w:fldChar w:fldCharType="separate"/>
          </w:r>
          <w:r>
            <w:t>14</w:t>
          </w:r>
          <w:r>
            <w:fldChar w:fldCharType="end"/>
          </w:r>
          <w:r>
            <w:fldChar w:fldCharType="end"/>
          </w:r>
        </w:p>
        <w:p>
          <w:pPr>
            <w:pStyle w:val="6"/>
            <w:tabs>
              <w:tab w:val="right" w:leader="dot" w:pos="8306"/>
            </w:tabs>
          </w:pPr>
          <w:r>
            <w:fldChar w:fldCharType="begin"/>
          </w:r>
          <w:r>
            <w:instrText xml:space="preserve"> HYPERLINK \l _Toc3848 </w:instrText>
          </w:r>
          <w:r>
            <w:fldChar w:fldCharType="separate"/>
          </w:r>
          <w:r>
            <w:rPr>
              <w:rFonts w:hint="eastAsia" w:ascii="楷体" w:hAnsi="楷体" w:eastAsia="楷体" w:cs="楷体"/>
              <w:kern w:val="0"/>
              <w:szCs w:val="22"/>
              <w:lang w:val="en-US" w:eastAsia="zh-CN" w:bidi="ar"/>
            </w:rPr>
            <w:t>8. 就业与升学情况</w:t>
          </w:r>
          <w:r>
            <w:tab/>
          </w:r>
          <w:r>
            <w:fldChar w:fldCharType="begin"/>
          </w:r>
          <w:r>
            <w:instrText xml:space="preserve"> PAGEREF _Toc3848 </w:instrText>
          </w:r>
          <w:r>
            <w:fldChar w:fldCharType="separate"/>
          </w:r>
          <w:r>
            <w:t>14</w:t>
          </w:r>
          <w:r>
            <w:fldChar w:fldCharType="end"/>
          </w:r>
          <w:r>
            <w:fldChar w:fldCharType="end"/>
          </w:r>
        </w:p>
        <w:p>
          <w:pPr>
            <w:pStyle w:val="6"/>
            <w:tabs>
              <w:tab w:val="right" w:leader="dot" w:pos="8306"/>
            </w:tabs>
          </w:pPr>
          <w:r>
            <w:fldChar w:fldCharType="begin"/>
          </w:r>
          <w:r>
            <w:instrText xml:space="preserve"> HYPERLINK \l _Toc13434 </w:instrText>
          </w:r>
          <w:r>
            <w:fldChar w:fldCharType="separate"/>
          </w:r>
          <w:r>
            <w:rPr>
              <w:rFonts w:hint="eastAsia" w:ascii="楷体" w:hAnsi="楷体" w:eastAsia="楷体" w:cs="楷体"/>
              <w:kern w:val="0"/>
              <w:szCs w:val="22"/>
              <w:lang w:val="zh-CN" w:eastAsia="zh-CN" w:bidi="ar"/>
            </w:rPr>
            <w:t>表</w:t>
          </w:r>
          <w:r>
            <w:rPr>
              <w:rFonts w:hint="eastAsia" w:ascii="楷体" w:hAnsi="楷体" w:eastAsia="楷体" w:cs="楷体"/>
              <w:kern w:val="0"/>
              <w:szCs w:val="22"/>
              <w:lang w:val="en-US" w:eastAsia="zh-CN" w:bidi="ar"/>
            </w:rPr>
            <w:t xml:space="preserve">8-1 </w:t>
          </w:r>
          <w:r>
            <w:rPr>
              <w:rFonts w:hint="default" w:ascii="楷体" w:hAnsi="楷体" w:eastAsia="楷体" w:cs="楷体"/>
              <w:kern w:val="0"/>
              <w:szCs w:val="22"/>
              <w:lang w:val="zh-CN" w:eastAsia="zh-CN" w:bidi="ar"/>
            </w:rPr>
            <w:t>近三年临床医学专业</w:t>
          </w:r>
          <w:r>
            <w:rPr>
              <w:rFonts w:hint="eastAsia" w:ascii="楷体" w:hAnsi="楷体" w:eastAsia="楷体" w:cs="楷体"/>
              <w:kern w:val="0"/>
              <w:szCs w:val="22"/>
              <w:lang w:val="zh-CN" w:eastAsia="zh-CN" w:bidi="ar"/>
            </w:rPr>
            <w:t>应届</w:t>
          </w:r>
          <w:r>
            <w:rPr>
              <w:rFonts w:hint="default" w:ascii="楷体" w:hAnsi="楷体" w:eastAsia="楷体" w:cs="楷体"/>
              <w:kern w:val="0"/>
              <w:szCs w:val="22"/>
              <w:lang w:val="zh-CN" w:eastAsia="zh-CN" w:bidi="ar"/>
            </w:rPr>
            <w:t>毕业生去向</w:t>
          </w:r>
          <w:r>
            <w:tab/>
          </w:r>
          <w:r>
            <w:fldChar w:fldCharType="begin"/>
          </w:r>
          <w:r>
            <w:instrText xml:space="preserve"> PAGEREF _Toc13434 </w:instrText>
          </w:r>
          <w:r>
            <w:fldChar w:fldCharType="separate"/>
          </w:r>
          <w:r>
            <w:t>14</w:t>
          </w:r>
          <w:r>
            <w:fldChar w:fldCharType="end"/>
          </w:r>
          <w:r>
            <w:fldChar w:fldCharType="end"/>
          </w:r>
        </w:p>
        <w:p>
          <w:pPr>
            <w:pStyle w:val="6"/>
            <w:tabs>
              <w:tab w:val="right" w:leader="dot" w:pos="8306"/>
            </w:tabs>
          </w:pPr>
          <w:r>
            <w:fldChar w:fldCharType="begin"/>
          </w:r>
          <w:r>
            <w:instrText xml:space="preserve"> HYPERLINK \l _Toc16021 </w:instrText>
          </w:r>
          <w:r>
            <w:fldChar w:fldCharType="separate"/>
          </w:r>
          <w:r>
            <w:rPr>
              <w:rFonts w:hint="eastAsia" w:ascii="楷体" w:hAnsi="楷体" w:eastAsia="楷体" w:cs="楷体"/>
              <w:kern w:val="0"/>
              <w:szCs w:val="22"/>
              <w:lang w:val="en-US" w:eastAsia="zh-CN" w:bidi="ar"/>
            </w:rPr>
            <w:t>9.2017届毕业生执业医师考试情况</w:t>
          </w:r>
          <w:r>
            <w:tab/>
          </w:r>
          <w:r>
            <w:fldChar w:fldCharType="begin"/>
          </w:r>
          <w:r>
            <w:instrText xml:space="preserve"> PAGEREF _Toc16021 </w:instrText>
          </w:r>
          <w:r>
            <w:fldChar w:fldCharType="separate"/>
          </w:r>
          <w:r>
            <w:t>14</w:t>
          </w:r>
          <w:r>
            <w:fldChar w:fldCharType="end"/>
          </w:r>
          <w:r>
            <w:fldChar w:fldCharType="end"/>
          </w:r>
        </w:p>
        <w:p>
          <w:pPr>
            <w:pStyle w:val="6"/>
            <w:tabs>
              <w:tab w:val="right" w:leader="dot" w:pos="8306"/>
            </w:tabs>
          </w:pPr>
          <w:r>
            <w:fldChar w:fldCharType="begin"/>
          </w:r>
          <w:r>
            <w:instrText xml:space="preserve"> HYPERLINK \l _Toc21598 </w:instrText>
          </w:r>
          <w:r>
            <w:fldChar w:fldCharType="separate"/>
          </w:r>
          <w:r>
            <w:rPr>
              <w:rFonts w:hint="eastAsia" w:ascii="楷体" w:hAnsi="楷体" w:eastAsia="楷体" w:cs="楷体"/>
              <w:kern w:val="0"/>
              <w:szCs w:val="22"/>
              <w:lang w:val="en-US" w:eastAsia="zh-CN" w:bidi="ar"/>
            </w:rPr>
            <w:t>10. 实验教学条件</w:t>
          </w:r>
          <w:r>
            <w:tab/>
          </w:r>
          <w:r>
            <w:fldChar w:fldCharType="begin"/>
          </w:r>
          <w:r>
            <w:instrText xml:space="preserve"> PAGEREF _Toc21598 </w:instrText>
          </w:r>
          <w:r>
            <w:fldChar w:fldCharType="separate"/>
          </w:r>
          <w:r>
            <w:t>15</w:t>
          </w:r>
          <w:r>
            <w:fldChar w:fldCharType="end"/>
          </w:r>
          <w:r>
            <w:fldChar w:fldCharType="end"/>
          </w:r>
        </w:p>
        <w:p>
          <w:pPr>
            <w:pStyle w:val="6"/>
            <w:tabs>
              <w:tab w:val="right" w:leader="dot" w:pos="8306"/>
            </w:tabs>
          </w:pPr>
          <w:r>
            <w:fldChar w:fldCharType="begin"/>
          </w:r>
          <w:r>
            <w:instrText xml:space="preserve"> HYPERLINK \l _Toc19559 </w:instrText>
          </w:r>
          <w:r>
            <w:fldChar w:fldCharType="separate"/>
          </w:r>
          <w:r>
            <w:rPr>
              <w:rFonts w:hint="eastAsia" w:ascii="楷体" w:hAnsi="楷体" w:eastAsia="楷体" w:cs="楷体"/>
              <w:kern w:val="0"/>
              <w:szCs w:val="22"/>
              <w:lang w:val="en-US" w:eastAsia="zh-CN" w:bidi="ar"/>
            </w:rPr>
            <w:t>11. 临床教学基地情况</w:t>
          </w:r>
          <w:r>
            <w:tab/>
          </w:r>
          <w:r>
            <w:fldChar w:fldCharType="begin"/>
          </w:r>
          <w:r>
            <w:instrText xml:space="preserve"> PAGEREF _Toc19559 </w:instrText>
          </w:r>
          <w:r>
            <w:fldChar w:fldCharType="separate"/>
          </w:r>
          <w:r>
            <w:t>15</w:t>
          </w:r>
          <w:r>
            <w:fldChar w:fldCharType="end"/>
          </w:r>
          <w:r>
            <w:fldChar w:fldCharType="end"/>
          </w:r>
        </w:p>
        <w:p>
          <w:pPr>
            <w:pStyle w:val="6"/>
            <w:tabs>
              <w:tab w:val="right" w:leader="dot" w:pos="8306"/>
            </w:tabs>
          </w:pPr>
          <w:r>
            <w:fldChar w:fldCharType="begin"/>
          </w:r>
          <w:r>
            <w:instrText xml:space="preserve"> HYPERLINK \l _Toc30483 </w:instrText>
          </w:r>
          <w:r>
            <w:fldChar w:fldCharType="separate"/>
          </w:r>
          <w:r>
            <w:rPr>
              <w:rFonts w:hint="eastAsia" w:ascii="楷体" w:hAnsi="楷体" w:eastAsia="楷体" w:cs="楷体"/>
              <w:kern w:val="0"/>
              <w:szCs w:val="22"/>
              <w:lang w:val="en-US" w:eastAsia="zh-CN" w:bidi="ar"/>
            </w:rPr>
            <w:t>12. 教师科研成果</w:t>
          </w:r>
          <w:r>
            <w:tab/>
          </w:r>
          <w:r>
            <w:fldChar w:fldCharType="begin"/>
          </w:r>
          <w:r>
            <w:instrText xml:space="preserve"> PAGEREF _Toc30483 </w:instrText>
          </w:r>
          <w:r>
            <w:fldChar w:fldCharType="separate"/>
          </w:r>
          <w:r>
            <w:t>15</w:t>
          </w:r>
          <w:r>
            <w:fldChar w:fldCharType="end"/>
          </w:r>
          <w:r>
            <w:fldChar w:fldCharType="end"/>
          </w:r>
        </w:p>
        <w:p>
          <w:pPr>
            <w:pStyle w:val="6"/>
            <w:tabs>
              <w:tab w:val="right" w:leader="dot" w:pos="8306"/>
            </w:tabs>
          </w:pPr>
          <w:r>
            <w:fldChar w:fldCharType="begin"/>
          </w:r>
          <w:r>
            <w:instrText xml:space="preserve"> HYPERLINK \l _Toc16874 </w:instrText>
          </w:r>
          <w:r>
            <w:fldChar w:fldCharType="separate"/>
          </w:r>
          <w:r>
            <w:rPr>
              <w:rFonts w:hint="eastAsia" w:ascii="楷体" w:hAnsi="楷体" w:eastAsia="楷体" w:cs="楷体"/>
              <w:kern w:val="0"/>
              <w:szCs w:val="22"/>
              <w:lang w:val="en-US" w:eastAsia="zh-CN" w:bidi="ar"/>
            </w:rPr>
            <w:t>13. 教师教学成果</w:t>
          </w:r>
          <w:r>
            <w:tab/>
          </w:r>
          <w:r>
            <w:fldChar w:fldCharType="begin"/>
          </w:r>
          <w:r>
            <w:instrText xml:space="preserve"> PAGEREF _Toc16874 </w:instrText>
          </w:r>
          <w:r>
            <w:fldChar w:fldCharType="separate"/>
          </w:r>
          <w:r>
            <w:t>15</w:t>
          </w:r>
          <w:r>
            <w:fldChar w:fldCharType="end"/>
          </w:r>
          <w:r>
            <w:fldChar w:fldCharType="end"/>
          </w:r>
        </w:p>
        <w:p>
          <w:pPr>
            <w:pStyle w:val="6"/>
            <w:tabs>
              <w:tab w:val="right" w:leader="dot" w:pos="8306"/>
            </w:tabs>
          </w:pPr>
          <w:r>
            <w:fldChar w:fldCharType="begin"/>
          </w:r>
          <w:r>
            <w:instrText xml:space="preserve"> HYPERLINK \l _Toc14148 </w:instrText>
          </w:r>
          <w:r>
            <w:fldChar w:fldCharType="separate"/>
          </w:r>
          <w:r>
            <w:rPr>
              <w:rFonts w:hint="eastAsia" w:ascii="楷体" w:hAnsi="楷体" w:eastAsia="楷体" w:cs="楷体"/>
              <w:kern w:val="0"/>
              <w:szCs w:val="22"/>
              <w:lang w:val="en-US" w:eastAsia="zh-CN" w:bidi="ar"/>
            </w:rPr>
            <w:t>14. 学生科研成果</w:t>
          </w:r>
          <w:r>
            <w:tab/>
          </w:r>
          <w:r>
            <w:fldChar w:fldCharType="begin"/>
          </w:r>
          <w:r>
            <w:instrText xml:space="preserve"> PAGEREF _Toc14148 </w:instrText>
          </w:r>
          <w:r>
            <w:fldChar w:fldCharType="separate"/>
          </w:r>
          <w:r>
            <w:t>15</w:t>
          </w:r>
          <w:r>
            <w:fldChar w:fldCharType="end"/>
          </w:r>
          <w:r>
            <w:fldChar w:fldCharType="end"/>
          </w:r>
        </w:p>
        <w:p>
          <w:pPr>
            <w:pStyle w:val="6"/>
            <w:tabs>
              <w:tab w:val="right" w:leader="dot" w:pos="8306"/>
            </w:tabs>
          </w:pPr>
          <w:r>
            <w:fldChar w:fldCharType="begin"/>
          </w:r>
          <w:r>
            <w:instrText xml:space="preserve"> HYPERLINK \l _Toc29256 </w:instrText>
          </w:r>
          <w:r>
            <w:fldChar w:fldCharType="separate"/>
          </w:r>
          <w:r>
            <w:rPr>
              <w:rFonts w:hint="eastAsia" w:ascii="楷体" w:hAnsi="楷体" w:eastAsia="楷体" w:cs="楷体"/>
              <w:kern w:val="0"/>
              <w:szCs w:val="22"/>
              <w:lang w:val="en-US" w:eastAsia="zh-CN" w:bidi="ar"/>
            </w:rPr>
            <w:t>15. “十三五”时期的主要任务与举措</w:t>
          </w:r>
          <w:r>
            <w:tab/>
          </w:r>
          <w:r>
            <w:fldChar w:fldCharType="begin"/>
          </w:r>
          <w:r>
            <w:instrText xml:space="preserve"> PAGEREF _Toc29256 </w:instrText>
          </w:r>
          <w:r>
            <w:fldChar w:fldCharType="separate"/>
          </w:r>
          <w:r>
            <w:t>15</w:t>
          </w:r>
          <w:r>
            <w:fldChar w:fldCharType="end"/>
          </w:r>
          <w:r>
            <w:fldChar w:fldCharType="end"/>
          </w:r>
        </w:p>
        <w:p>
          <w:pPr>
            <w:keepNext w:val="0"/>
            <w:keepLines w:val="0"/>
            <w:widowControl/>
            <w:suppressLineNumbers w:val="0"/>
            <w:jc w:val="center"/>
            <w:rPr>
              <w:rFonts w:asciiTheme="minorHAnsi" w:hAnsiTheme="minorHAnsi" w:eastAsiaTheme="minorEastAsia" w:cstheme="minorBidi"/>
              <w:kern w:val="2"/>
              <w:sz w:val="21"/>
              <w:szCs w:val="24"/>
              <w:lang w:val="en-US" w:eastAsia="zh-CN" w:bidi="ar-SA"/>
            </w:rPr>
            <w:sectPr>
              <w:footerReference r:id="rId3" w:type="default"/>
              <w:pgSz w:w="11906" w:h="16838"/>
              <w:pgMar w:top="1440" w:right="1800" w:bottom="1440" w:left="1800" w:header="851" w:footer="992" w:gutter="0"/>
              <w:pgNumType w:fmt="decimal" w:start="1"/>
              <w:cols w:space="425" w:num="1"/>
              <w:docGrid w:type="lines" w:linePitch="312" w:charSpace="0"/>
            </w:sectPr>
          </w:pPr>
          <w:r>
            <w:fldChar w:fldCharType="end"/>
          </w:r>
        </w:p>
      </w:sdtContent>
    </w:sdt>
    <w:p>
      <w:pPr>
        <w:keepNext w:val="0"/>
        <w:keepLines w:val="0"/>
        <w:widowControl/>
        <w:suppressLineNumbers w:val="0"/>
        <w:jc w:val="center"/>
        <w:rPr>
          <w:rFonts w:asciiTheme="minorHAnsi" w:hAnsiTheme="minorHAnsi" w:eastAsiaTheme="minorEastAsia" w:cstheme="minorBidi"/>
          <w:kern w:val="2"/>
          <w:sz w:val="21"/>
          <w:szCs w:val="24"/>
          <w:lang w:val="en-US" w:eastAsia="zh-CN" w:bidi="ar-SA"/>
        </w:rPr>
      </w:pPr>
    </w:p>
    <w:p>
      <w:pPr>
        <w:keepNext w:val="0"/>
        <w:keepLines w:val="0"/>
        <w:widowControl/>
        <w:numPr>
          <w:ilvl w:val="0"/>
          <w:numId w:val="1"/>
        </w:numPr>
        <w:suppressLineNumbers w:val="0"/>
        <w:jc w:val="center"/>
        <w:outlineLvl w:val="0"/>
        <w:rPr>
          <w:rFonts w:hint="eastAsia" w:ascii="黑体" w:hAnsi="宋体" w:eastAsia="黑体" w:cs="黑体"/>
          <w:b/>
          <w:color w:val="000000"/>
          <w:kern w:val="0"/>
          <w:sz w:val="36"/>
          <w:szCs w:val="36"/>
          <w:lang w:val="en-US" w:eastAsia="zh-CN" w:bidi="ar"/>
        </w:rPr>
      </w:pPr>
      <w:bookmarkStart w:id="0" w:name="_Toc244"/>
      <w:r>
        <w:rPr>
          <w:rFonts w:hint="eastAsia" w:ascii="黑体" w:hAnsi="宋体" w:eastAsia="黑体" w:cs="黑体"/>
          <w:b/>
          <w:color w:val="000000"/>
          <w:kern w:val="0"/>
          <w:sz w:val="36"/>
          <w:szCs w:val="36"/>
          <w:lang w:val="en-US" w:eastAsia="zh-CN" w:bidi="ar"/>
        </w:rPr>
        <w:t>医学专业认证基本知识</w:t>
      </w:r>
      <w:bookmarkEnd w:id="0"/>
    </w:p>
    <w:p>
      <w:pPr>
        <w:keepNext w:val="0"/>
        <w:keepLines w:val="0"/>
        <w:widowControl/>
        <w:numPr>
          <w:ilvl w:val="0"/>
          <w:numId w:val="0"/>
        </w:numPr>
        <w:suppressLineNumbers w:val="0"/>
        <w:jc w:val="both"/>
        <w:rPr>
          <w:rFonts w:hint="eastAsia" w:ascii="黑体" w:hAnsi="宋体" w:eastAsia="黑体" w:cs="黑体"/>
          <w:b/>
          <w:color w:val="000000"/>
          <w:kern w:val="0"/>
          <w:sz w:val="36"/>
          <w:szCs w:val="36"/>
          <w:lang w:val="en-US" w:eastAsia="zh-CN" w:bidi="ar"/>
        </w:rPr>
      </w:pPr>
    </w:p>
    <w:p>
      <w:pPr>
        <w:keepNext w:val="0"/>
        <w:keepLines w:val="0"/>
        <w:widowControl/>
        <w:numPr>
          <w:ilvl w:val="0"/>
          <w:numId w:val="2"/>
        </w:numPr>
        <w:suppressLineNumbers w:val="0"/>
        <w:spacing w:line="360" w:lineRule="auto"/>
        <w:jc w:val="left"/>
        <w:outlineLvl w:val="1"/>
        <w:rPr>
          <w:rFonts w:hint="eastAsia" w:ascii="楷体" w:hAnsi="楷体" w:eastAsia="楷体" w:cs="楷体"/>
          <w:b/>
          <w:color w:val="000000"/>
          <w:kern w:val="0"/>
          <w:sz w:val="22"/>
          <w:szCs w:val="22"/>
          <w:lang w:val="en-US" w:eastAsia="zh-CN" w:bidi="ar"/>
        </w:rPr>
      </w:pPr>
      <w:bookmarkStart w:id="1" w:name="_Toc581"/>
      <w:r>
        <w:rPr>
          <w:rFonts w:hint="eastAsia" w:ascii="楷体" w:hAnsi="楷体" w:eastAsia="楷体" w:cs="楷体"/>
          <w:b/>
          <w:color w:val="000000"/>
          <w:kern w:val="0"/>
          <w:sz w:val="22"/>
          <w:szCs w:val="22"/>
          <w:lang w:val="en-US" w:eastAsia="zh-CN" w:bidi="ar"/>
        </w:rPr>
        <w:t>什么是医学专业认证</w:t>
      </w:r>
      <w:bookmarkEnd w:id="1"/>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认证是高等教育外部质量保证的一种方法和途径，是由指定的专门机构采用一套程序和标准对医学院校（院校）或培训项目（专业）进行审核与评价，判断其是否达到既定的教育质量标准，并协助院校和专业进一步改进教育质量的过程。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一般而言，高等教育认证制度由院校认证和专业认证两部分构成，两者的区别在于认证的对象和认证的主体。院校认证由地区性或全国性认证协会把高校作为一个整体来认证，是为了评判整所院校的教育质量；而专业认证是由专业协会的认证委员会对培养专业人才的教育计划进行认证，评估高等院校所开设的某种专业是否符合预先制定的基本标准，为进入专门职业工作的预备教育提供质量保证。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医学专业认证特指医学行业的专门协会和医学专业领域的教育工作者一起对医学领域的相关专业进行质量的评价与控制，以保证从业人员进入医学行业领域所达到的最基本要求。目前我国已在临床医学、护理学、中医学、口腔医学等专业开展认证工作。 </w:t>
      </w:r>
    </w:p>
    <w:p>
      <w:pPr>
        <w:keepNext w:val="0"/>
        <w:keepLines w:val="0"/>
        <w:widowControl/>
        <w:suppressLineNumbers w:val="0"/>
        <w:spacing w:line="360" w:lineRule="auto"/>
        <w:jc w:val="left"/>
        <w:outlineLvl w:val="1"/>
        <w:rPr>
          <w:rFonts w:hint="eastAsia" w:ascii="楷体" w:hAnsi="楷体" w:eastAsia="楷体" w:cs="楷体"/>
          <w:b/>
          <w:color w:val="000000"/>
          <w:kern w:val="0"/>
          <w:sz w:val="22"/>
          <w:szCs w:val="22"/>
          <w:lang w:val="en-US" w:eastAsia="zh-CN" w:bidi="ar"/>
        </w:rPr>
      </w:pPr>
      <w:bookmarkStart w:id="2" w:name="_Toc32292"/>
      <w:r>
        <w:rPr>
          <w:rFonts w:hint="eastAsia" w:ascii="楷体" w:hAnsi="楷体" w:eastAsia="楷体" w:cs="楷体"/>
          <w:b/>
          <w:color w:val="000000"/>
          <w:kern w:val="0"/>
          <w:sz w:val="22"/>
          <w:szCs w:val="22"/>
          <w:lang w:val="en-US" w:eastAsia="zh-CN" w:bidi="ar"/>
        </w:rPr>
        <w:t>2．临床医学专业认证产生的背景</w:t>
      </w:r>
      <w:bookmarkEnd w:id="2"/>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default" w:ascii="Times New Roman" w:hAnsi="Times New Roman" w:eastAsia="宋体" w:cs="Times New Roman"/>
          <w:color w:val="000000"/>
          <w:kern w:val="0"/>
          <w:sz w:val="21"/>
          <w:szCs w:val="21"/>
          <w:lang w:val="en-US" w:eastAsia="zh-CN" w:bidi="ar"/>
        </w:rPr>
        <w:t xml:space="preserve">2001 </w:t>
      </w:r>
      <w:r>
        <w:rPr>
          <w:rFonts w:hint="eastAsia" w:ascii="宋体" w:hAnsi="宋体" w:eastAsia="宋体" w:cs="宋体"/>
          <w:color w:val="000000"/>
          <w:kern w:val="0"/>
          <w:sz w:val="21"/>
          <w:szCs w:val="21"/>
          <w:lang w:val="en-US" w:eastAsia="zh-CN" w:bidi="ar"/>
        </w:rPr>
        <w:t>年，世界医学教育联合会（</w:t>
      </w:r>
      <w:r>
        <w:rPr>
          <w:rFonts w:hint="default" w:ascii="Times New Roman" w:hAnsi="Times New Roman" w:eastAsia="宋体" w:cs="Times New Roman"/>
          <w:color w:val="000000"/>
          <w:kern w:val="0"/>
          <w:sz w:val="21"/>
          <w:szCs w:val="21"/>
          <w:lang w:val="en-US" w:eastAsia="zh-CN" w:bidi="ar"/>
        </w:rPr>
        <w:t>WFME</w:t>
      </w:r>
      <w:r>
        <w:rPr>
          <w:rFonts w:hint="eastAsia" w:ascii="宋体" w:hAnsi="宋体" w:eastAsia="宋体" w:cs="宋体"/>
          <w:color w:val="000000"/>
          <w:kern w:val="0"/>
          <w:sz w:val="21"/>
          <w:szCs w:val="21"/>
          <w:lang w:val="en-US" w:eastAsia="zh-CN" w:bidi="ar"/>
        </w:rPr>
        <w:t>）颁布了《本科医学教国际标准》（</w:t>
      </w:r>
      <w:r>
        <w:rPr>
          <w:rFonts w:hint="default" w:ascii="Times New Roman" w:hAnsi="Times New Roman" w:eastAsia="宋体" w:cs="Times New Roman"/>
          <w:color w:val="000000"/>
          <w:kern w:val="0"/>
          <w:sz w:val="21"/>
          <w:szCs w:val="21"/>
          <w:lang w:val="en-US" w:eastAsia="zh-CN" w:bidi="ar"/>
        </w:rPr>
        <w:t>International Standards in Basic Medical Education</w:t>
      </w:r>
      <w:r>
        <w:rPr>
          <w:rFonts w:hint="eastAsia" w:ascii="宋体" w:hAnsi="宋体" w:eastAsia="宋体" w:cs="宋体"/>
          <w:color w:val="000000"/>
          <w:kern w:val="0"/>
          <w:sz w:val="21"/>
          <w:szCs w:val="21"/>
          <w:lang w:val="en-US" w:eastAsia="zh-CN" w:bidi="ar"/>
        </w:rPr>
        <w:t>），并提出了“建立世界医学教育注册制度”的建议。随即，</w:t>
      </w:r>
      <w:r>
        <w:rPr>
          <w:rFonts w:hint="default" w:ascii="Times New Roman" w:hAnsi="Times New Roman" w:eastAsia="宋体" w:cs="Times New Roman"/>
          <w:color w:val="000000"/>
          <w:kern w:val="0"/>
          <w:sz w:val="21"/>
          <w:szCs w:val="21"/>
          <w:lang w:val="en-US" w:eastAsia="zh-CN" w:bidi="ar"/>
        </w:rPr>
        <w:t xml:space="preserve">WHO </w:t>
      </w:r>
      <w:r>
        <w:rPr>
          <w:rFonts w:hint="eastAsia" w:ascii="宋体" w:hAnsi="宋体" w:eastAsia="宋体" w:cs="宋体"/>
          <w:color w:val="000000"/>
          <w:kern w:val="0"/>
          <w:sz w:val="21"/>
          <w:szCs w:val="21"/>
          <w:lang w:val="en-US" w:eastAsia="zh-CN" w:bidi="ar"/>
        </w:rPr>
        <w:t>西太区医学教育协会</w:t>
      </w:r>
      <w:r>
        <w:rPr>
          <w:rFonts w:hint="default" w:ascii="Times New Roman" w:hAnsi="Times New Roman" w:eastAsia="宋体" w:cs="Times New Roman"/>
          <w:color w:val="000000"/>
          <w:kern w:val="0"/>
          <w:sz w:val="21"/>
          <w:szCs w:val="21"/>
          <w:lang w:val="en-US" w:eastAsia="zh-CN" w:bidi="ar"/>
        </w:rPr>
        <w:t>(AMEWPR)</w:t>
      </w:r>
      <w:r>
        <w:rPr>
          <w:rFonts w:hint="eastAsia" w:ascii="宋体" w:hAnsi="宋体" w:eastAsia="宋体" w:cs="宋体"/>
          <w:color w:val="000000"/>
          <w:kern w:val="0"/>
          <w:sz w:val="21"/>
          <w:szCs w:val="21"/>
          <w:lang w:val="en-US" w:eastAsia="zh-CN" w:bidi="ar"/>
        </w:rPr>
        <w:t>制订了区域性医学教育标准——《本科医学教育质量保证指南》和美国中华基金会（</w:t>
      </w:r>
      <w:r>
        <w:rPr>
          <w:rFonts w:hint="default" w:ascii="Times New Roman" w:hAnsi="Times New Roman" w:eastAsia="宋体" w:cs="Times New Roman"/>
          <w:color w:val="000000"/>
          <w:kern w:val="0"/>
          <w:sz w:val="21"/>
          <w:szCs w:val="21"/>
          <w:lang w:val="en-US" w:eastAsia="zh-CN" w:bidi="ar"/>
        </w:rPr>
        <w:t>China Medical Board</w:t>
      </w:r>
      <w:r>
        <w:rPr>
          <w:rFonts w:hint="eastAsia"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of New York</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CMB</w:t>
      </w:r>
      <w:r>
        <w:rPr>
          <w:rFonts w:hint="eastAsia" w:ascii="宋体" w:hAnsi="宋体" w:eastAsia="宋体" w:cs="宋体"/>
          <w:color w:val="000000"/>
          <w:kern w:val="0"/>
          <w:sz w:val="21"/>
          <w:szCs w:val="21"/>
          <w:lang w:val="en-US" w:eastAsia="zh-CN" w:bidi="ar"/>
        </w:rPr>
        <w:t>）资助成立的国际医学教育专门委员会（</w:t>
      </w:r>
      <w:r>
        <w:rPr>
          <w:rFonts w:hint="default" w:ascii="Times New Roman" w:hAnsi="Times New Roman" w:eastAsia="宋体" w:cs="Times New Roman"/>
          <w:color w:val="000000"/>
          <w:kern w:val="0"/>
          <w:sz w:val="21"/>
          <w:szCs w:val="21"/>
          <w:lang w:val="en-US" w:eastAsia="zh-CN" w:bidi="ar"/>
        </w:rPr>
        <w:t>Institute for International Medical Education</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IIME</w:t>
      </w:r>
      <w:r>
        <w:rPr>
          <w:rFonts w:hint="eastAsia" w:ascii="宋体" w:hAnsi="宋体" w:eastAsia="宋体" w:cs="宋体"/>
          <w:color w:val="000000"/>
          <w:kern w:val="0"/>
          <w:sz w:val="21"/>
          <w:szCs w:val="21"/>
          <w:lang w:val="en-US" w:eastAsia="zh-CN" w:bidi="ar"/>
        </w:rPr>
        <w:t>）制定了《全球医学教育最基本要求》（</w:t>
      </w:r>
      <w:r>
        <w:rPr>
          <w:rFonts w:hint="default" w:ascii="Times New Roman" w:hAnsi="Times New Roman" w:eastAsia="宋体" w:cs="Times New Roman"/>
          <w:color w:val="000000"/>
          <w:kern w:val="0"/>
          <w:sz w:val="21"/>
          <w:szCs w:val="21"/>
          <w:lang w:val="en-US" w:eastAsia="zh-CN" w:bidi="ar"/>
        </w:rPr>
        <w:t>Global Minimum Essential Requirement in Medical</w:t>
      </w:r>
      <w:r>
        <w:rPr>
          <w:rFonts w:hint="eastAsia"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Education</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GMER</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 xml:space="preserve">2001 </w:t>
      </w:r>
      <w:r>
        <w:rPr>
          <w:rFonts w:hint="eastAsia" w:ascii="宋体" w:hAnsi="宋体" w:eastAsia="宋体" w:cs="宋体"/>
          <w:color w:val="000000"/>
          <w:kern w:val="0"/>
          <w:sz w:val="21"/>
          <w:szCs w:val="21"/>
          <w:lang w:val="en-US" w:eastAsia="zh-CN" w:bidi="ar"/>
        </w:rPr>
        <w:t>年发布了《本科医学教育全球标准》，国际医学教育组织制定的《全球医学教育最基本要求》，它们从不同角度制定的全球本科医学教育的基本要求和国际医学教育标准。</w:t>
      </w:r>
      <w:r>
        <w:rPr>
          <w:rFonts w:hint="default" w:ascii="Times New Roman" w:hAnsi="Times New Roman" w:eastAsia="宋体" w:cs="Times New Roman"/>
          <w:color w:val="000000"/>
          <w:kern w:val="0"/>
          <w:sz w:val="21"/>
          <w:szCs w:val="21"/>
          <w:lang w:val="en-US" w:eastAsia="zh-CN" w:bidi="ar"/>
        </w:rPr>
        <w:t xml:space="preserve">2002 </w:t>
      </w:r>
      <w:r>
        <w:rPr>
          <w:rFonts w:hint="eastAsia" w:ascii="宋体" w:hAnsi="宋体" w:eastAsia="宋体" w:cs="宋体"/>
          <w:color w:val="000000"/>
          <w:kern w:val="0"/>
          <w:sz w:val="21"/>
          <w:szCs w:val="21"/>
          <w:lang w:val="en-US" w:eastAsia="zh-CN" w:bidi="ar"/>
        </w:rPr>
        <w:t>年教育部召开了医学教育标准国际研讨会，部署国际标准“本土化”的研究工作，并由教育部和卫生部设立了专门项目，委托中国高等教育学会医学教育专业委员会组建了“中国医学教育质量保证体系研究课题组”。我国医学教育参照国际医学教育标准，结合我国医学教育实际，制定了《中国本科医学教育标准》（试行）</w:t>
      </w:r>
      <w:r>
        <w:rPr>
          <w:rFonts w:hint="default" w:ascii="Times New Roman" w:hAnsi="Times New Roman" w:eastAsia="宋体" w:cs="Times New Roman"/>
          <w:color w:val="000000"/>
          <w:kern w:val="0"/>
          <w:sz w:val="21"/>
          <w:szCs w:val="21"/>
          <w:lang w:val="en-US" w:eastAsia="zh-CN" w:bidi="ar"/>
        </w:rPr>
        <w:t xml:space="preserve">2008 </w:t>
      </w:r>
      <w:r>
        <w:rPr>
          <w:rFonts w:hint="eastAsia" w:ascii="黑体" w:hAnsi="宋体" w:eastAsia="黑体" w:cs="黑体"/>
          <w:color w:val="000000"/>
          <w:kern w:val="0"/>
          <w:sz w:val="21"/>
          <w:szCs w:val="21"/>
          <w:lang w:val="en-US" w:eastAsia="zh-CN" w:bidi="ar"/>
        </w:rPr>
        <w:t xml:space="preserve">年 </w:t>
      </w:r>
      <w:r>
        <w:rPr>
          <w:rFonts w:hint="default" w:ascii="Times New Roman" w:hAnsi="Times New Roman" w:eastAsia="宋体" w:cs="Times New Roman"/>
          <w:color w:val="000000"/>
          <w:kern w:val="0"/>
          <w:sz w:val="21"/>
          <w:szCs w:val="21"/>
          <w:lang w:val="en-US" w:eastAsia="zh-CN" w:bidi="ar"/>
        </w:rPr>
        <w:t xml:space="preserve">9 </w:t>
      </w:r>
      <w:r>
        <w:rPr>
          <w:rFonts w:hint="eastAsia" w:ascii="黑体" w:hAnsi="宋体" w:eastAsia="黑体" w:cs="黑体"/>
          <w:color w:val="000000"/>
          <w:kern w:val="0"/>
          <w:sz w:val="21"/>
          <w:szCs w:val="21"/>
          <w:lang w:val="en-US" w:eastAsia="zh-CN" w:bidi="ar"/>
        </w:rPr>
        <w:t>月，教育部正式发布了《本科医学教育标准—临床医学专业（试行）》。</w:t>
      </w:r>
      <w:r>
        <w:rPr>
          <w:rFonts w:hint="eastAsia" w:ascii="宋体" w:hAnsi="宋体" w:eastAsia="宋体" w:cs="宋体"/>
          <w:color w:val="000000"/>
          <w:kern w:val="0"/>
          <w:sz w:val="21"/>
          <w:szCs w:val="21"/>
          <w:lang w:val="en-US" w:eastAsia="zh-CN" w:bidi="ar"/>
        </w:rPr>
        <w:t xml:space="preserve">医学专业认证是“教育部、财政部关于实施高等学校本科教学质量与教学改革工程的意见”的重要内容。 </w:t>
      </w:r>
      <w:r>
        <w:rPr>
          <w:rFonts w:hint="default" w:ascii="Times New Roman" w:hAnsi="Times New Roman" w:eastAsia="宋体" w:cs="Times New Roman"/>
          <w:color w:val="000000"/>
          <w:kern w:val="0"/>
          <w:sz w:val="21"/>
          <w:szCs w:val="21"/>
          <w:lang w:val="en-US" w:eastAsia="zh-CN" w:bidi="ar"/>
        </w:rPr>
        <w:t xml:space="preserve">2008 </w:t>
      </w:r>
      <w:r>
        <w:rPr>
          <w:rFonts w:hint="eastAsia" w:ascii="宋体" w:hAnsi="宋体" w:eastAsia="宋体" w:cs="宋体"/>
          <w:color w:val="000000"/>
          <w:kern w:val="0"/>
          <w:sz w:val="21"/>
          <w:szCs w:val="21"/>
          <w:lang w:val="en-US" w:eastAsia="zh-CN" w:bidi="ar"/>
        </w:rPr>
        <w:t xml:space="preserve">年教育部成立了临床医学专业认证工作委员会，正式启动了临床医学专业认证工作。 </w:t>
      </w:r>
    </w:p>
    <w:p>
      <w:pPr>
        <w:keepNext w:val="0"/>
        <w:keepLines w:val="0"/>
        <w:widowControl/>
        <w:suppressLineNumbers w:val="0"/>
        <w:spacing w:line="360" w:lineRule="auto"/>
        <w:ind w:firstLine="420" w:firstLineChars="200"/>
        <w:jc w:val="left"/>
      </w:pPr>
      <w:r>
        <w:rPr>
          <w:rFonts w:hint="default" w:ascii="Times New Roman" w:hAnsi="Times New Roman" w:eastAsia="宋体" w:cs="Times New Roman"/>
          <w:color w:val="000000"/>
          <w:kern w:val="0"/>
          <w:sz w:val="21"/>
          <w:szCs w:val="21"/>
          <w:lang w:val="en-US" w:eastAsia="zh-CN" w:bidi="ar"/>
        </w:rPr>
        <w:t>2012</w:t>
      </w:r>
      <w:r>
        <w:rPr>
          <w:rFonts w:hint="eastAsia" w:ascii="宋体" w:hAnsi="宋体" w:eastAsia="宋体" w:cs="宋体"/>
          <w:color w:val="000000"/>
          <w:kern w:val="0"/>
          <w:sz w:val="21"/>
          <w:szCs w:val="21"/>
          <w:lang w:val="en-US" w:eastAsia="zh-CN" w:bidi="ar"/>
        </w:rPr>
        <w:t>年</w:t>
      </w:r>
      <w:r>
        <w:rPr>
          <w:rFonts w:hint="default" w:ascii="Times New Roman" w:hAnsi="Times New Roman" w:eastAsia="宋体" w:cs="Times New Roman"/>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月，教育部、卫生部发布《关于实施临床医学教育综合改革的若干意见》，意见指出，“应建立临床医学教育专业认证制度。开展以《标准》为依据，以院校自评为基础，教育部门和卫生行业共同组织实施的临床医学教育专业认证工作。</w:t>
      </w:r>
      <w:r>
        <w:rPr>
          <w:rFonts w:hint="eastAsia"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十三五</w:t>
      </w:r>
      <w:r>
        <w:rPr>
          <w:rFonts w:hint="eastAsia" w:ascii="Times New Roman" w:hAnsi="Times New Roman" w:eastAsia="宋体" w:cs="Times New Roman"/>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 xml:space="preserve">期间，总结经验，研究借鉴国际医学教育规范，进一步完善符合国际医学教育规范的我国临床医学教育专业认证标准和认证程序，扩大试点范围，完善政策体系； </w:t>
      </w:r>
      <w:r>
        <w:rPr>
          <w:rFonts w:hint="default" w:ascii="Times New Roman" w:hAnsi="Times New Roman" w:eastAsia="宋体" w:cs="Times New Roman"/>
          <w:color w:val="000000"/>
          <w:kern w:val="0"/>
          <w:sz w:val="21"/>
          <w:szCs w:val="21"/>
          <w:lang w:val="en-US" w:eastAsia="zh-CN" w:bidi="ar"/>
        </w:rPr>
        <w:t xml:space="preserve">2020 </w:t>
      </w:r>
      <w:r>
        <w:rPr>
          <w:rFonts w:hint="eastAsia" w:ascii="宋体" w:hAnsi="宋体" w:eastAsia="宋体" w:cs="宋体"/>
          <w:color w:val="000000"/>
          <w:kern w:val="0"/>
          <w:sz w:val="21"/>
          <w:szCs w:val="21"/>
          <w:lang w:val="en-US" w:eastAsia="zh-CN" w:bidi="ar"/>
        </w:rPr>
        <w:t xml:space="preserve">年完成高等院校临床医学专业首轮认证工作，建立起具有中国特色与国际医学教育实质等效的医学专业认证制度。建立健全临床医学本科专业教育和专业学位研究生教育准入制度”。 </w:t>
      </w:r>
    </w:p>
    <w:p>
      <w:pPr>
        <w:keepNext w:val="0"/>
        <w:keepLines w:val="0"/>
        <w:widowControl/>
        <w:suppressLineNumbers w:val="0"/>
        <w:spacing w:line="360" w:lineRule="auto"/>
        <w:jc w:val="left"/>
        <w:outlineLvl w:val="1"/>
      </w:pPr>
      <w:bookmarkStart w:id="3" w:name="_Toc24581"/>
      <w:r>
        <w:rPr>
          <w:rFonts w:hint="eastAsia" w:ascii="楷体" w:hAnsi="楷体" w:eastAsia="楷体" w:cs="楷体"/>
          <w:b/>
          <w:color w:val="000000"/>
          <w:kern w:val="0"/>
          <w:sz w:val="22"/>
          <w:szCs w:val="22"/>
          <w:lang w:val="en-US" w:eastAsia="zh-CN" w:bidi="ar"/>
        </w:rPr>
        <w:t>3．医学专业认证的组织部门、认证机构及认证标准</w:t>
      </w:r>
      <w:bookmarkEnd w:id="3"/>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医学专业认证的组织部门是教育部，认证机构是医学教育认证专家委员会和</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临床医学专业认证工作委员会</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，其中专家委员会进行宏观指导和审批，工作委员会负责认证的具体落实。工作委员会下设秘书处，处理日常事务。认证标准是教育部和卫生部联合颁布的《中国本科医学教育标准</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临床医学专业（试行）》（教高（</w:t>
      </w:r>
      <w:r>
        <w:rPr>
          <w:rFonts w:hint="default" w:ascii="Times New Roman" w:hAnsi="Times New Roman" w:eastAsia="宋体" w:cs="Times New Roman"/>
          <w:color w:val="000000"/>
          <w:kern w:val="0"/>
          <w:sz w:val="21"/>
          <w:szCs w:val="21"/>
          <w:lang w:val="en-US" w:eastAsia="zh-CN" w:bidi="ar"/>
        </w:rPr>
        <w:t>2008</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 xml:space="preserve">9 </w:t>
      </w:r>
      <w:r>
        <w:rPr>
          <w:rFonts w:hint="eastAsia" w:ascii="宋体" w:hAnsi="宋体" w:eastAsia="宋体" w:cs="宋体"/>
          <w:color w:val="000000"/>
          <w:kern w:val="0"/>
          <w:sz w:val="21"/>
          <w:szCs w:val="21"/>
          <w:lang w:val="en-US" w:eastAsia="zh-CN" w:bidi="ar"/>
        </w:rPr>
        <w:t xml:space="preserve">号）。 </w:t>
      </w:r>
    </w:p>
    <w:p>
      <w:pPr>
        <w:keepNext w:val="0"/>
        <w:keepLines w:val="0"/>
        <w:widowControl/>
        <w:suppressLineNumbers w:val="0"/>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方式：学校自评+外部专家考察评估</w:t>
      </w:r>
    </w:p>
    <w:p>
      <w:pPr>
        <w:keepNext w:val="0"/>
        <w:keepLines w:val="0"/>
        <w:widowControl/>
        <w:suppressLineNumbers w:val="0"/>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依据：《本科医学教育标准-临床医学专业》</w:t>
      </w:r>
    </w:p>
    <w:p>
      <w:pPr>
        <w:keepNext w:val="0"/>
        <w:keepLines w:val="0"/>
        <w:widowControl/>
        <w:suppressLineNumbers w:val="0"/>
        <w:spacing w:line="360" w:lineRule="auto"/>
        <w:ind w:firstLine="422" w:firstLineChars="200"/>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第一轮：2008版标准</w:t>
      </w:r>
    </w:p>
    <w:p>
      <w:pPr>
        <w:keepNext w:val="0"/>
        <w:keepLines w:val="0"/>
        <w:widowControl/>
        <w:suppressLineNumbers w:val="0"/>
        <w:spacing w:line="360" w:lineRule="auto"/>
        <w:ind w:firstLine="422" w:firstLineChars="200"/>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第二轮开始：2016版标准 </w:t>
      </w:r>
    </w:p>
    <w:p>
      <w:pPr>
        <w:keepNext w:val="0"/>
        <w:keepLines w:val="0"/>
        <w:widowControl/>
        <w:suppressLineNumbers w:val="0"/>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未来：《标准》持续更新</w:t>
      </w:r>
    </w:p>
    <w:p>
      <w:pPr>
        <w:keepNext w:val="0"/>
        <w:keepLines w:val="0"/>
        <w:widowControl/>
        <w:suppressLineNumbers w:val="0"/>
        <w:spacing w:line="360" w:lineRule="auto"/>
        <w:ind w:firstLine="420" w:firstLineChars="200"/>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内容：依据《标准》，对教育教学进行全程评价，是否符合标准在多大程度上符合标准的要求，帮助学校找出弱项或者差距，指出改进方向。</w:t>
      </w:r>
    </w:p>
    <w:p>
      <w:pPr>
        <w:keepNext w:val="0"/>
        <w:keepLines w:val="0"/>
        <w:widowControl/>
        <w:suppressLineNumbers w:val="0"/>
        <w:spacing w:line="360" w:lineRule="auto"/>
        <w:jc w:val="left"/>
        <w:outlineLvl w:val="1"/>
      </w:pPr>
      <w:bookmarkStart w:id="4" w:name="_Toc31511"/>
      <w:r>
        <w:rPr>
          <w:rFonts w:hint="eastAsia" w:ascii="楷体" w:hAnsi="楷体" w:eastAsia="楷体" w:cs="楷体"/>
          <w:b/>
          <w:color w:val="000000"/>
          <w:kern w:val="0"/>
          <w:sz w:val="22"/>
          <w:szCs w:val="22"/>
          <w:lang w:val="en-US" w:eastAsia="zh-CN" w:bidi="ar"/>
        </w:rPr>
        <w:t>4. 专业认证的目的和意义</w:t>
      </w:r>
      <w:bookmarkEnd w:id="4"/>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）更新教育思想，促进真正意义的以学生为中心教育观念的形成，保证受教育者的权益得到更好地体现，促进教师的专业发展，从而提高高校的教育质量，同时提高学校的信誉度；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 xml:space="preserve">）依据国际医学教育的发展趋势，对学校医学教育进行全面客观地“诊断”，帮助学校建立一套科学的、可行的办学理念和发展远景，以促进学校健康、持续地发展，促进优质教育资源的形成和充分利用；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 xml:space="preserve">）认真查找与国际医学教育的差距，明确学校医学教育的改革方向，为更大力度的改革奠定基础； </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 xml:space="preserve">）专业认证是国际通行的高等教育质量互认的主要依据，医学教育认证工作关系学校在国际医学教育中的地位，实现教育互认和人才的国际互认。 </w:t>
      </w:r>
    </w:p>
    <w:p>
      <w:pPr>
        <w:keepNext w:val="0"/>
        <w:keepLines w:val="0"/>
        <w:widowControl/>
        <w:suppressLineNumbers w:val="0"/>
        <w:spacing w:line="360" w:lineRule="auto"/>
        <w:ind w:firstLine="630" w:firstLineChars="300"/>
        <w:jc w:val="left"/>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ECFMG（美国外国医科毕业生教育委员会）：</w:t>
      </w:r>
    </w:p>
    <w:p>
      <w:pPr>
        <w:keepNext w:val="0"/>
        <w:keepLines w:val="0"/>
        <w:widowControl/>
        <w:suppressLineNumbers w:val="0"/>
        <w:spacing w:line="360" w:lineRule="auto"/>
        <w:ind w:firstLine="422" w:firstLineChars="200"/>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u w:val="single"/>
          <w:lang w:val="en-US" w:eastAsia="zh-CN" w:bidi="ar"/>
        </w:rPr>
        <w:t>“至2023年, 所有要申请ECFMG证书的外国医科毕业生，其毕业的学校必须经过正式的认证</w:t>
      </w:r>
      <w:r>
        <w:rPr>
          <w:rFonts w:hint="eastAsia" w:ascii="宋体" w:hAnsi="宋体" w:eastAsia="宋体" w:cs="宋体"/>
          <w:b w:val="0"/>
          <w:bCs w:val="0"/>
          <w:color w:val="000000"/>
          <w:kern w:val="0"/>
          <w:sz w:val="21"/>
          <w:szCs w:val="21"/>
          <w:lang w:val="en-US" w:eastAsia="zh-CN" w:bidi="ar"/>
        </w:rPr>
        <w:t>（采用与LCME或 WFME相当的国际认可的程序及标准进行认证）。”</w:t>
      </w:r>
    </w:p>
    <w:p>
      <w:pPr>
        <w:keepNext w:val="0"/>
        <w:keepLines w:val="0"/>
        <w:widowControl/>
        <w:suppressLineNumbers w:val="0"/>
        <w:spacing w:line="360" w:lineRule="auto"/>
        <w:jc w:val="left"/>
        <w:outlineLvl w:val="1"/>
      </w:pPr>
      <w:bookmarkStart w:id="5" w:name="_Toc25650"/>
      <w:r>
        <w:rPr>
          <w:rFonts w:hint="eastAsia" w:ascii="楷体" w:hAnsi="楷体" w:eastAsia="楷体" w:cs="楷体"/>
          <w:b/>
          <w:color w:val="000000"/>
          <w:kern w:val="0"/>
          <w:sz w:val="22"/>
          <w:szCs w:val="22"/>
          <w:lang w:val="en-US" w:eastAsia="zh-CN" w:bidi="ar"/>
        </w:rPr>
        <w:t>5. 我国临床医学专业认证现状及任务要求</w:t>
      </w:r>
      <w:bookmarkEnd w:id="5"/>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举办临床医学专业的本科院校一共165所，其中包括4所军队院校，没有本科毕业生的院校24所，独立学院近30所。截至目前，89所学校完成认证，25所学校接受前期考察，6所学校进行认证后回访，提交67份进展报告， 11份综合报告，超过80所学校进行“认证咨询和指导”。到 </w:t>
      </w:r>
      <w:r>
        <w:rPr>
          <w:rFonts w:hint="default" w:ascii="Times New Roman" w:hAnsi="Times New Roman" w:eastAsia="宋体" w:cs="Times New Roman"/>
          <w:color w:val="000000"/>
          <w:kern w:val="0"/>
          <w:sz w:val="21"/>
          <w:szCs w:val="21"/>
          <w:lang w:val="en-US" w:eastAsia="zh-CN" w:bidi="ar"/>
        </w:rPr>
        <w:t xml:space="preserve">2020 </w:t>
      </w:r>
      <w:r>
        <w:rPr>
          <w:rFonts w:hint="eastAsia" w:ascii="宋体" w:hAnsi="宋体" w:eastAsia="宋体" w:cs="宋体"/>
          <w:color w:val="000000"/>
          <w:kern w:val="0"/>
          <w:sz w:val="21"/>
          <w:szCs w:val="21"/>
          <w:lang w:val="en-US" w:eastAsia="zh-CN" w:bidi="ar"/>
        </w:rPr>
        <w:t xml:space="preserve">年完成所有（不包括独立院校）举办临床医学专业的院校的专业认证，促进改革，提高人才培养质量。 </w:t>
      </w:r>
    </w:p>
    <w:p>
      <w:pPr>
        <w:keepNext w:val="0"/>
        <w:keepLines w:val="0"/>
        <w:widowControl/>
        <w:suppressLineNumbers w:val="0"/>
        <w:spacing w:line="360" w:lineRule="auto"/>
        <w:jc w:val="left"/>
        <w:outlineLvl w:val="1"/>
      </w:pPr>
      <w:bookmarkStart w:id="6" w:name="_Toc17561"/>
      <w:r>
        <w:rPr>
          <w:rFonts w:hint="eastAsia" w:ascii="楷体" w:hAnsi="楷体" w:eastAsia="楷体" w:cs="楷体"/>
          <w:b/>
          <w:color w:val="000000"/>
          <w:kern w:val="0"/>
          <w:sz w:val="22"/>
          <w:szCs w:val="22"/>
          <w:lang w:val="en-US" w:eastAsia="zh-CN" w:bidi="ar"/>
        </w:rPr>
        <w:t>6. 临床专业认证的原则</w:t>
      </w:r>
      <w:bookmarkEnd w:id="6"/>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outlineLvl w:val="2"/>
      </w:pPr>
      <w:bookmarkStart w:id="7" w:name="_Toc12334"/>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）保证认证过程的独立性、客观性和公正性；</w:t>
      </w:r>
      <w:bookmarkEnd w:id="7"/>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spacing w:line="360" w:lineRule="auto"/>
        <w:jc w:val="left"/>
        <w:outlineLvl w:val="2"/>
      </w:pPr>
      <w:bookmarkStart w:id="8" w:name="_Toc26433"/>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）尊重教育机构的办学自主权和教育模式的多样性；</w:t>
      </w:r>
      <w:bookmarkEnd w:id="8"/>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spacing w:line="360" w:lineRule="auto"/>
        <w:jc w:val="left"/>
        <w:outlineLvl w:val="2"/>
      </w:pPr>
      <w:bookmarkStart w:id="9" w:name="_Toc13316"/>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）重点考察临床医学专业教育目标、办学标准和质量保障</w:t>
      </w:r>
      <w:bookmarkEnd w:id="9"/>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 xml:space="preserve">体系的实现状况，并确认呈报材料的有效性； </w:t>
      </w:r>
    </w:p>
    <w:p>
      <w:pPr>
        <w:keepNext w:val="0"/>
        <w:keepLines w:val="0"/>
        <w:widowControl/>
        <w:suppressLineNumbers w:val="0"/>
        <w:spacing w:line="360" w:lineRule="auto"/>
        <w:jc w:val="left"/>
        <w:outlineLvl w:val="2"/>
      </w:pPr>
      <w:bookmarkStart w:id="10" w:name="_Toc6516"/>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）确保认证标准的稳定性和认证程序的严肃性，在广泛收集客</w:t>
      </w:r>
      <w:bookmarkEnd w:id="10"/>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 xml:space="preserve">观证据和信息的基础上得出认证结论的建议。 </w:t>
      </w:r>
    </w:p>
    <w:p>
      <w:pPr>
        <w:keepNext w:val="0"/>
        <w:keepLines w:val="0"/>
        <w:widowControl/>
        <w:suppressLineNumbers w:val="0"/>
        <w:spacing w:line="360" w:lineRule="auto"/>
        <w:jc w:val="left"/>
        <w:outlineLvl w:val="1"/>
      </w:pPr>
      <w:bookmarkStart w:id="11" w:name="_Toc24806"/>
      <w:r>
        <w:rPr>
          <w:rFonts w:hint="eastAsia" w:ascii="楷体" w:hAnsi="楷体" w:eastAsia="楷体" w:cs="楷体"/>
          <w:b/>
          <w:color w:val="000000"/>
          <w:kern w:val="0"/>
          <w:sz w:val="22"/>
          <w:szCs w:val="22"/>
          <w:lang w:val="en-US" w:eastAsia="zh-CN" w:bidi="ar"/>
        </w:rPr>
        <w:t>7. 专业认证的关键</w:t>
      </w:r>
      <w:bookmarkEnd w:id="11"/>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关键是在于专业的教学是否适合学生毕业后进入该领域从事专业工作的要求和期望，是否符合该专业资格证书或执照的申请条件。 </w:t>
      </w:r>
    </w:p>
    <w:p>
      <w:pPr>
        <w:keepNext w:val="0"/>
        <w:keepLines w:val="0"/>
        <w:widowControl/>
        <w:suppressLineNumbers w:val="0"/>
        <w:spacing w:line="360" w:lineRule="auto"/>
        <w:jc w:val="left"/>
        <w:outlineLvl w:val="1"/>
      </w:pPr>
      <w:bookmarkStart w:id="12" w:name="_Toc21115"/>
      <w:r>
        <w:rPr>
          <w:rFonts w:hint="eastAsia" w:ascii="楷体" w:hAnsi="楷体" w:eastAsia="楷体" w:cs="楷体"/>
          <w:b/>
          <w:color w:val="000000"/>
          <w:kern w:val="0"/>
          <w:sz w:val="22"/>
          <w:szCs w:val="22"/>
          <w:lang w:val="en-US" w:eastAsia="zh-CN" w:bidi="ar"/>
        </w:rPr>
        <w:t>8. 专业认证的考察重点</w:t>
      </w:r>
      <w:bookmarkEnd w:id="12"/>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）硬件建设：大学办学的必备条件；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 xml:space="preserve">）内涵建设：办学宗旨、人才培养模式与质量、教学管理、教学方法、教学改革等；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 xml:space="preserve">）办学过程中每一项有利于促进学生能力培养、教学改革、教学质量保证等实际工作；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 xml:space="preserve">）注重以学生为中心的教学改革，培养学生的自主学习能力，变被动学习为主动学习；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 xml:space="preserve">）注重社区或农村医疗卫生实践；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 xml:space="preserve">）推进课程纵向和横向的整合；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7</w:t>
      </w:r>
      <w:r>
        <w:rPr>
          <w:rFonts w:hint="eastAsia" w:ascii="宋体" w:hAnsi="宋体" w:eastAsia="宋体" w:cs="宋体"/>
          <w:color w:val="000000"/>
          <w:kern w:val="0"/>
          <w:sz w:val="21"/>
          <w:szCs w:val="21"/>
          <w:lang w:val="en-US" w:eastAsia="zh-CN" w:bidi="ar"/>
        </w:rPr>
        <w:t xml:space="preserve">）拓展学生的国际交流经历；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8</w:t>
      </w:r>
      <w:r>
        <w:rPr>
          <w:rFonts w:hint="eastAsia" w:ascii="宋体" w:hAnsi="宋体" w:eastAsia="宋体" w:cs="宋体"/>
          <w:color w:val="000000"/>
          <w:kern w:val="0"/>
          <w:sz w:val="21"/>
          <w:szCs w:val="21"/>
          <w:lang w:val="en-US" w:eastAsia="zh-CN" w:bidi="ar"/>
        </w:rPr>
        <w:t xml:space="preserve">）大学生创新能力培养；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9</w:t>
      </w:r>
      <w:r>
        <w:rPr>
          <w:rFonts w:hint="eastAsia" w:ascii="宋体" w:hAnsi="宋体" w:eastAsia="宋体" w:cs="宋体"/>
          <w:color w:val="000000"/>
          <w:kern w:val="0"/>
          <w:sz w:val="21"/>
          <w:szCs w:val="21"/>
          <w:lang w:val="en-US" w:eastAsia="zh-CN" w:bidi="ar"/>
        </w:rPr>
        <w:t xml:space="preserve">）教学工作亮点与优势、不足与对策、计划与目标。 </w:t>
      </w:r>
    </w:p>
    <w:p>
      <w:pPr>
        <w:keepNext w:val="0"/>
        <w:keepLines w:val="0"/>
        <w:widowControl/>
        <w:suppressLineNumbers w:val="0"/>
        <w:spacing w:line="360" w:lineRule="auto"/>
        <w:jc w:val="left"/>
        <w:outlineLvl w:val="1"/>
      </w:pPr>
      <w:bookmarkStart w:id="13" w:name="_Toc22640"/>
      <w:r>
        <w:rPr>
          <w:rFonts w:hint="eastAsia" w:ascii="楷体" w:hAnsi="楷体" w:eastAsia="楷体" w:cs="楷体"/>
          <w:b/>
          <w:color w:val="000000"/>
          <w:kern w:val="0"/>
          <w:sz w:val="22"/>
          <w:szCs w:val="22"/>
          <w:lang w:val="en-US" w:eastAsia="zh-CN" w:bidi="ar"/>
        </w:rPr>
        <w:t>9. 临床医学专业认证的形式</w:t>
      </w:r>
      <w:bookmarkEnd w:id="13"/>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认证的主要形式为听取校长的自评报告、专家组实地考察和召开座谈会三种。 </w:t>
      </w:r>
    </w:p>
    <w:p>
      <w:pPr>
        <w:keepNext w:val="0"/>
        <w:keepLines w:val="0"/>
        <w:widowControl/>
        <w:suppressLineNumbers w:val="0"/>
        <w:spacing w:line="360" w:lineRule="auto"/>
        <w:jc w:val="left"/>
        <w:outlineLvl w:val="1"/>
      </w:pPr>
      <w:bookmarkStart w:id="14" w:name="_Toc24360"/>
      <w:r>
        <w:rPr>
          <w:rFonts w:hint="eastAsia" w:ascii="楷体" w:hAnsi="楷体" w:eastAsia="楷体" w:cs="楷体"/>
          <w:b/>
          <w:color w:val="000000"/>
          <w:kern w:val="0"/>
          <w:sz w:val="22"/>
          <w:szCs w:val="22"/>
          <w:lang w:val="en-US" w:eastAsia="zh-CN" w:bidi="ar"/>
        </w:rPr>
        <w:t>10. 专家组现场考查的目的和内容</w:t>
      </w:r>
      <w:bookmarkEnd w:id="14"/>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专家组现场考查主要目的是核实学校自评报告的真实性和准确性，并了解自评报告未能反映的有关情况。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）实地考查教学条件（图书馆、基础医学实验教学中心、临床技能教学中心、</w:t>
      </w:r>
      <w:r>
        <w:rPr>
          <w:rFonts w:hint="default" w:ascii="Times New Roman" w:hAnsi="Times New Roman" w:eastAsia="宋体" w:cs="Times New Roman"/>
          <w:color w:val="000000"/>
          <w:kern w:val="0"/>
          <w:sz w:val="21"/>
          <w:szCs w:val="21"/>
          <w:lang w:val="en-US" w:eastAsia="zh-CN" w:bidi="ar"/>
        </w:rPr>
        <w:t xml:space="preserve">PBL </w:t>
      </w:r>
      <w:r>
        <w:rPr>
          <w:rFonts w:hint="eastAsia" w:ascii="宋体" w:hAnsi="宋体" w:eastAsia="宋体" w:cs="宋体"/>
          <w:color w:val="000000"/>
          <w:kern w:val="0"/>
          <w:sz w:val="21"/>
          <w:szCs w:val="21"/>
          <w:lang w:val="en-US" w:eastAsia="zh-CN" w:bidi="ar"/>
        </w:rPr>
        <w:t xml:space="preserve">教学场所、学生自主学习室等）等；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 xml:space="preserve">）检查近期学生试卷（含平时试卷）、实验报告、实习报告、作业等；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 xml:space="preserve">）观摩课堂教学、实验、实习、学生课外活动；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 xml:space="preserve">）测试学生基本知识和基本技能；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 xml:space="preserve">）专家组分组别走访基础医学院、临床学院等；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 xml:space="preserve">）考查其他能反映教学质量和学生素质的现场和实物。 </w:t>
      </w:r>
    </w:p>
    <w:p>
      <w:pPr>
        <w:keepNext w:val="0"/>
        <w:keepLines w:val="0"/>
        <w:widowControl/>
        <w:suppressLineNumbers w:val="0"/>
        <w:spacing w:line="360" w:lineRule="auto"/>
        <w:jc w:val="left"/>
        <w:outlineLvl w:val="1"/>
      </w:pPr>
      <w:bookmarkStart w:id="15" w:name="_Toc18213"/>
      <w:r>
        <w:rPr>
          <w:rFonts w:hint="eastAsia" w:ascii="楷体" w:hAnsi="楷体" w:eastAsia="楷体" w:cs="楷体"/>
          <w:b/>
          <w:color w:val="000000"/>
          <w:kern w:val="0"/>
          <w:sz w:val="22"/>
          <w:szCs w:val="22"/>
          <w:lang w:val="en-US" w:eastAsia="zh-CN" w:bidi="ar"/>
        </w:rPr>
        <w:t>11. 专家组如何召开座谈会</w:t>
      </w:r>
      <w:bookmarkEnd w:id="15"/>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召开不同类型人员参加的座谈会：包括教师座谈会、学生座谈会（分别召开高年级、低年级学生座谈会）、医学教育各专家委员会座谈会、管理人员座谈会（教学管理人员、学生管理、服务部门）、各利益方代表座谈会（省、市卫生行政管理部门、地市医院和社区医院代表参加），必要时还需会晤用人单位的相关负责人，座谈会由专家组确定讨论提纲和参与名单。</w:t>
      </w:r>
    </w:p>
    <w:p>
      <w:pPr>
        <w:keepNext w:val="0"/>
        <w:keepLines w:val="0"/>
        <w:widowControl/>
        <w:suppressLineNumbers w:val="0"/>
        <w:spacing w:line="360" w:lineRule="auto"/>
        <w:jc w:val="left"/>
        <w:outlineLvl w:val="1"/>
      </w:pPr>
      <w:bookmarkStart w:id="16" w:name="_Toc2285"/>
      <w:r>
        <w:rPr>
          <w:rFonts w:hint="eastAsia" w:ascii="楷体" w:hAnsi="楷体" w:eastAsia="楷体" w:cs="楷体"/>
          <w:b/>
          <w:color w:val="000000"/>
          <w:kern w:val="0"/>
          <w:sz w:val="22"/>
          <w:szCs w:val="22"/>
          <w:lang w:val="en-US" w:eastAsia="zh-CN" w:bidi="ar"/>
        </w:rPr>
        <w:t>12.专业认证的结论</w:t>
      </w:r>
      <w:bookmarkEnd w:id="16"/>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outlineLvl w:val="2"/>
      </w:pPr>
      <w:bookmarkStart w:id="17" w:name="_Toc19401"/>
      <w:r>
        <w:rPr>
          <w:rFonts w:hint="eastAsia" w:ascii="宋体" w:hAnsi="宋体" w:eastAsia="宋体" w:cs="宋体"/>
          <w:b/>
          <w:color w:val="000000"/>
          <w:kern w:val="0"/>
          <w:sz w:val="21"/>
          <w:szCs w:val="21"/>
          <w:lang w:val="en-US" w:eastAsia="zh-CN" w:bidi="ar"/>
        </w:rPr>
        <w:t>（一）通过认证</w:t>
      </w:r>
      <w:bookmarkEnd w:id="17"/>
      <w:r>
        <w:rPr>
          <w:rFonts w:hint="eastAsia" w:ascii="宋体" w:hAnsi="宋体" w:eastAsia="宋体" w:cs="宋体"/>
          <w:b/>
          <w:color w:val="000000"/>
          <w:kern w:val="0"/>
          <w:sz w:val="21"/>
          <w:szCs w:val="21"/>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教育机构的临床医学专业教育教学符合《标准》的要求，根据该教育机构自身制定的办学目标的实现程度、是否达到社会期望以及存在的不足等，确定认证的有效期限，一般为 </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 xml:space="preserve">8 </w:t>
      </w:r>
      <w:r>
        <w:rPr>
          <w:rFonts w:hint="eastAsia" w:ascii="宋体" w:hAnsi="宋体" w:eastAsia="宋体" w:cs="宋体"/>
          <w:color w:val="000000"/>
          <w:kern w:val="0"/>
          <w:sz w:val="21"/>
          <w:szCs w:val="21"/>
          <w:lang w:val="en-US" w:eastAsia="zh-CN" w:bidi="ar"/>
        </w:rPr>
        <w:t xml:space="preserve">年；认证有效期自认证报告提交之日算起。教育机构应按认证报告中指定的期限进行整改，并提交整改报告，工作委员会视情况决定继续提交整改报告的时间和是否进行回访。认证有效期满后，教育机构须再次提出认证申请。 </w:t>
      </w:r>
    </w:p>
    <w:p>
      <w:pPr>
        <w:keepNext w:val="0"/>
        <w:keepLines w:val="0"/>
        <w:widowControl/>
        <w:suppressLineNumbers w:val="0"/>
        <w:spacing w:line="360" w:lineRule="auto"/>
        <w:jc w:val="left"/>
        <w:outlineLvl w:val="2"/>
      </w:pPr>
      <w:bookmarkStart w:id="18" w:name="_Toc19018"/>
      <w:r>
        <w:rPr>
          <w:rFonts w:hint="eastAsia" w:ascii="宋体" w:hAnsi="宋体" w:eastAsia="宋体" w:cs="宋体"/>
          <w:b/>
          <w:color w:val="000000"/>
          <w:kern w:val="0"/>
          <w:sz w:val="21"/>
          <w:szCs w:val="21"/>
          <w:lang w:val="en-US" w:eastAsia="zh-CN" w:bidi="ar"/>
        </w:rPr>
        <w:t>（二）不予认证</w:t>
      </w:r>
      <w:bookmarkEnd w:id="18"/>
      <w:r>
        <w:rPr>
          <w:rFonts w:hint="eastAsia" w:ascii="宋体" w:hAnsi="宋体" w:eastAsia="宋体" w:cs="宋体"/>
          <w:b/>
          <w:color w:val="000000"/>
          <w:kern w:val="0"/>
          <w:sz w:val="21"/>
          <w:szCs w:val="21"/>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教育机构的临床医学专业教育教学达不到《标准》的要求。专家组根据该教育机构在某些方面存在的缺陷或重大问题提出整改意见和整改期限。整改期限不超过 </w:t>
      </w:r>
      <w:r>
        <w:rPr>
          <w:rFonts w:hint="default" w:ascii="Times New Roman" w:hAnsi="Times New Roman" w:eastAsia="宋体" w:cs="Times New Roman"/>
          <w:color w:val="000000"/>
          <w:kern w:val="0"/>
          <w:sz w:val="21"/>
          <w:szCs w:val="21"/>
          <w:lang w:val="en-US" w:eastAsia="zh-CN" w:bidi="ar"/>
        </w:rPr>
        <w:t xml:space="preserve">2 </w:t>
      </w:r>
      <w:r>
        <w:rPr>
          <w:rFonts w:hint="eastAsia" w:ascii="宋体" w:hAnsi="宋体" w:eastAsia="宋体" w:cs="宋体"/>
          <w:color w:val="000000"/>
          <w:kern w:val="0"/>
          <w:sz w:val="21"/>
          <w:szCs w:val="21"/>
          <w:lang w:val="en-US" w:eastAsia="zh-CN" w:bidi="ar"/>
        </w:rPr>
        <w:t xml:space="preserve">年。通过整改和自评，教育机构认为已经达到《标准》，可重新申请认证。 </w:t>
      </w:r>
    </w:p>
    <w:p>
      <w:pPr>
        <w:keepNext w:val="0"/>
        <w:keepLines w:val="0"/>
        <w:widowControl/>
        <w:suppressLineNumbers w:val="0"/>
        <w:spacing w:line="360" w:lineRule="auto"/>
        <w:jc w:val="left"/>
        <w:outlineLvl w:val="1"/>
      </w:pPr>
      <w:bookmarkStart w:id="19" w:name="_Toc6779"/>
      <w:r>
        <w:rPr>
          <w:rFonts w:hint="eastAsia" w:ascii="楷体" w:hAnsi="楷体" w:eastAsia="楷体" w:cs="楷体"/>
          <w:b/>
          <w:color w:val="000000"/>
          <w:kern w:val="0"/>
          <w:sz w:val="22"/>
          <w:szCs w:val="22"/>
          <w:lang w:val="en-US" w:eastAsia="zh-CN" w:bidi="ar"/>
        </w:rPr>
        <w:t>13. 申请认证的教育机构及其职责</w:t>
      </w:r>
      <w:bookmarkEnd w:id="19"/>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教育部批准的开设临床医学专业的本科教育机构（包括综合大学和独立建制的医学院校）均可向工作委员会秘书处提出认证申请。其职责包括：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）教育机构应提前 </w:t>
      </w:r>
      <w:r>
        <w:rPr>
          <w:rFonts w:hint="default" w:ascii="Times New Roman" w:hAnsi="Times New Roman" w:eastAsia="宋体" w:cs="Times New Roman"/>
          <w:color w:val="000000"/>
          <w:kern w:val="0"/>
          <w:sz w:val="21"/>
          <w:szCs w:val="21"/>
          <w:lang w:val="en-US" w:eastAsia="zh-CN" w:bidi="ar"/>
        </w:rPr>
        <w:t xml:space="preserve">1 </w:t>
      </w:r>
      <w:r>
        <w:rPr>
          <w:rFonts w:hint="eastAsia" w:ascii="宋体" w:hAnsi="宋体" w:eastAsia="宋体" w:cs="宋体"/>
          <w:color w:val="000000"/>
          <w:kern w:val="0"/>
          <w:sz w:val="21"/>
          <w:szCs w:val="21"/>
          <w:lang w:val="en-US" w:eastAsia="zh-CN" w:bidi="ar"/>
        </w:rPr>
        <w:t xml:space="preserve">年向工作委员会秘书处提出认证申请要求，并提交《中国临床医学专业认证申请表》；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 xml:space="preserve">）经审议同意进行认证的教育机构，应确定联络人员，负责与工作委员会秘书处的联络和沟通；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 xml:space="preserve">）教育机构与工作委员会秘书处协商确定进校考察的时间；对专家组的组成提出意见；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）开展自评活动，撰写自评报告，在认证专家组进校考察前</w:t>
      </w:r>
      <w:r>
        <w:rPr>
          <w:rFonts w:hint="default" w:ascii="Times New Roman" w:hAnsi="Times New Roman" w:eastAsia="宋体" w:cs="Times New Roman"/>
          <w:color w:val="000000"/>
          <w:kern w:val="0"/>
          <w:sz w:val="21"/>
          <w:szCs w:val="21"/>
          <w:lang w:val="en-US" w:eastAsia="zh-CN" w:bidi="ar"/>
        </w:rPr>
        <w:t xml:space="preserve">1 </w:t>
      </w:r>
      <w:r>
        <w:rPr>
          <w:rFonts w:hint="eastAsia" w:ascii="宋体" w:hAnsi="宋体" w:eastAsia="宋体" w:cs="宋体"/>
          <w:color w:val="000000"/>
          <w:kern w:val="0"/>
          <w:sz w:val="21"/>
          <w:szCs w:val="21"/>
          <w:lang w:val="en-US" w:eastAsia="zh-CN" w:bidi="ar"/>
        </w:rPr>
        <w:t xml:space="preserve">个月提交给认证专家组成员；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 xml:space="preserve">）现场考察期间，为专家组提供必要的条件，保障认证工作的顺利进行；及时提供相关材料并解答相关问题；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 xml:space="preserve">）在不影响正常的教学、科研和医疗秩序的情况下，组织管理人员、教师、学生、卫生行政部门等利益相关人员参加座谈会；安排专家进行教学场所、实验室和图书馆等相关设施的考察；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7</w:t>
      </w:r>
      <w:r>
        <w:rPr>
          <w:rFonts w:hint="eastAsia" w:ascii="宋体" w:hAnsi="宋体" w:eastAsia="宋体" w:cs="宋体"/>
          <w:color w:val="000000"/>
          <w:kern w:val="0"/>
          <w:sz w:val="21"/>
          <w:szCs w:val="21"/>
          <w:lang w:val="en-US" w:eastAsia="zh-CN" w:bidi="ar"/>
        </w:rPr>
        <w:t xml:space="preserve">）对于认证报告中可能与事实不符的部分，提出自己的意见和实证材料；与专家组协商不能达成一致意见的时候，可向工作委员会秘书处提出申诉请求；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8</w:t>
      </w:r>
      <w:r>
        <w:rPr>
          <w:rFonts w:hint="eastAsia" w:ascii="宋体" w:hAnsi="宋体" w:eastAsia="宋体" w:cs="宋体"/>
          <w:color w:val="000000"/>
          <w:kern w:val="0"/>
          <w:sz w:val="21"/>
          <w:szCs w:val="21"/>
          <w:lang w:val="en-US" w:eastAsia="zh-CN" w:bidi="ar"/>
        </w:rPr>
        <w:t xml:space="preserve">）按照认证报告的建议与要求，积极改进临床医学专业教育，按期提交整改报告。 </w:t>
      </w:r>
    </w:p>
    <w:p>
      <w:pPr>
        <w:keepNext w:val="0"/>
        <w:keepLines w:val="0"/>
        <w:widowControl/>
        <w:suppressLineNumbers w:val="0"/>
        <w:spacing w:line="360" w:lineRule="auto"/>
        <w:jc w:val="left"/>
        <w:outlineLvl w:val="1"/>
      </w:pPr>
      <w:bookmarkStart w:id="20" w:name="_Toc9207"/>
      <w:r>
        <w:rPr>
          <w:rFonts w:hint="eastAsia" w:ascii="楷体" w:hAnsi="楷体" w:eastAsia="楷体" w:cs="楷体"/>
          <w:b/>
          <w:color w:val="000000"/>
          <w:kern w:val="0"/>
          <w:sz w:val="22"/>
          <w:szCs w:val="22"/>
          <w:lang w:val="en-US" w:eastAsia="zh-CN" w:bidi="ar"/>
        </w:rPr>
        <w:t>14. 医学院校申请临床专业认证的态度</w:t>
      </w:r>
      <w:bookmarkEnd w:id="20"/>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）诚信求实；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 xml:space="preserve">）为改进而认证；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 xml:space="preserve">）为发展而认证。 </w:t>
      </w:r>
    </w:p>
    <w:p>
      <w:pPr>
        <w:keepNext w:val="0"/>
        <w:keepLines w:val="0"/>
        <w:widowControl/>
        <w:suppressLineNumbers w:val="0"/>
        <w:spacing w:line="360" w:lineRule="auto"/>
        <w:jc w:val="left"/>
        <w:outlineLvl w:val="1"/>
      </w:pPr>
      <w:bookmarkStart w:id="21" w:name="_Toc16837"/>
      <w:r>
        <w:rPr>
          <w:rFonts w:hint="eastAsia" w:ascii="楷体" w:hAnsi="楷体" w:eastAsia="楷体" w:cs="楷体"/>
          <w:b/>
          <w:color w:val="000000"/>
          <w:kern w:val="0"/>
          <w:sz w:val="22"/>
          <w:szCs w:val="22"/>
          <w:lang w:val="en-US" w:eastAsia="zh-CN" w:bidi="ar"/>
        </w:rPr>
        <w:t>15. 我校接受临床医学专业认证的时间</w:t>
      </w:r>
      <w:bookmarkEnd w:id="21"/>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教育部临床医学专业认证工作委员会定于</w:t>
      </w:r>
      <w:r>
        <w:rPr>
          <w:rFonts w:hint="eastAsia" w:ascii="宋体" w:hAnsi="宋体" w:eastAsia="宋体" w:cs="宋体"/>
          <w:b/>
          <w:bCs/>
          <w:color w:val="000000"/>
          <w:kern w:val="0"/>
          <w:sz w:val="21"/>
          <w:szCs w:val="21"/>
          <w:u w:val="single"/>
          <w:lang w:val="en-US" w:eastAsia="zh-CN" w:bidi="ar"/>
        </w:rPr>
        <w:t xml:space="preserve"> </w:t>
      </w:r>
      <w:r>
        <w:rPr>
          <w:rFonts w:hint="default" w:ascii="Times New Roman" w:hAnsi="Times New Roman" w:eastAsia="宋体" w:cs="Times New Roman"/>
          <w:b/>
          <w:bCs/>
          <w:color w:val="000000"/>
          <w:kern w:val="0"/>
          <w:sz w:val="21"/>
          <w:szCs w:val="21"/>
          <w:u w:val="single"/>
          <w:lang w:val="en-US" w:eastAsia="zh-CN" w:bidi="ar"/>
        </w:rPr>
        <w:t>20</w:t>
      </w:r>
      <w:r>
        <w:rPr>
          <w:rFonts w:hint="eastAsia" w:ascii="Times New Roman" w:hAnsi="Times New Roman" w:eastAsia="宋体" w:cs="Times New Roman"/>
          <w:b/>
          <w:bCs/>
          <w:color w:val="000000"/>
          <w:kern w:val="0"/>
          <w:sz w:val="21"/>
          <w:szCs w:val="21"/>
          <w:u w:val="single"/>
          <w:lang w:val="en-US" w:eastAsia="zh-CN" w:bidi="ar"/>
        </w:rPr>
        <w:t>20</w:t>
      </w:r>
      <w:r>
        <w:rPr>
          <w:rFonts w:ascii="TimesNewRomanPSMT" w:hAnsi="TimesNewRomanPSMT" w:eastAsia="TimesNewRomanPSMT" w:cs="TimesNewRomanPSMT"/>
          <w:b/>
          <w:bCs/>
          <w:color w:val="000000"/>
          <w:kern w:val="0"/>
          <w:sz w:val="21"/>
          <w:szCs w:val="21"/>
          <w:u w:val="single"/>
          <w:lang w:val="en-US" w:eastAsia="zh-CN" w:bidi="ar"/>
        </w:rPr>
        <w:t xml:space="preserve"> </w:t>
      </w:r>
      <w:r>
        <w:rPr>
          <w:rFonts w:hint="eastAsia" w:ascii="宋体" w:hAnsi="宋体" w:eastAsia="宋体" w:cs="宋体"/>
          <w:b/>
          <w:bCs/>
          <w:color w:val="000000"/>
          <w:kern w:val="0"/>
          <w:sz w:val="21"/>
          <w:szCs w:val="21"/>
          <w:u w:val="single"/>
          <w:lang w:val="en-US" w:eastAsia="zh-CN" w:bidi="ar"/>
        </w:rPr>
        <w:t>年11月8日至</w:t>
      </w:r>
      <w:r>
        <w:rPr>
          <w:rFonts w:hint="eastAsia" w:ascii="TimesNewRomanPSMT" w:hAnsi="TimesNewRomanPSMT" w:eastAsia="TimesNewRomanPSMT" w:cs="TimesNewRomanPSMT"/>
          <w:b/>
          <w:bCs/>
          <w:color w:val="000000"/>
          <w:kern w:val="0"/>
          <w:sz w:val="21"/>
          <w:szCs w:val="21"/>
          <w:u w:val="single"/>
          <w:lang w:val="en-US" w:eastAsia="zh-CN" w:bidi="ar"/>
        </w:rPr>
        <w:t>12</w:t>
      </w:r>
      <w:r>
        <w:rPr>
          <w:rFonts w:hint="eastAsia" w:ascii="宋体" w:hAnsi="宋体" w:eastAsia="宋体" w:cs="宋体"/>
          <w:b/>
          <w:bCs/>
          <w:color w:val="000000"/>
          <w:kern w:val="0"/>
          <w:sz w:val="21"/>
          <w:szCs w:val="21"/>
          <w:u w:val="single"/>
          <w:lang w:val="en-US" w:eastAsia="zh-CN" w:bidi="ar"/>
        </w:rPr>
        <w:t>日</w:t>
      </w:r>
      <w:r>
        <w:rPr>
          <w:rFonts w:hint="eastAsia" w:ascii="宋体" w:hAnsi="宋体" w:eastAsia="宋体" w:cs="宋体"/>
          <w:color w:val="000000"/>
          <w:kern w:val="0"/>
          <w:sz w:val="21"/>
          <w:szCs w:val="21"/>
          <w:lang w:val="en-US" w:eastAsia="zh-CN" w:bidi="ar"/>
        </w:rPr>
        <w:t>对我校进行临床医学专业认证现场考察。</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numPr>
          <w:ilvl w:val="0"/>
          <w:numId w:val="1"/>
        </w:numPr>
        <w:suppressLineNumbers w:val="0"/>
        <w:ind w:left="0" w:leftChars="0" w:firstLine="0" w:firstLineChars="0"/>
        <w:jc w:val="center"/>
        <w:outlineLvl w:val="0"/>
        <w:rPr>
          <w:rFonts w:hint="eastAsia" w:ascii="黑体" w:hAnsi="宋体" w:eastAsia="黑体" w:cs="黑体"/>
          <w:b/>
          <w:color w:val="000000"/>
          <w:kern w:val="0"/>
          <w:sz w:val="36"/>
          <w:szCs w:val="36"/>
          <w:lang w:val="en-US" w:eastAsia="zh-CN" w:bidi="ar"/>
        </w:rPr>
      </w:pPr>
      <w:bookmarkStart w:id="22" w:name="_Toc69"/>
      <w:r>
        <w:rPr>
          <w:rFonts w:hint="eastAsia" w:ascii="黑体" w:hAnsi="宋体" w:eastAsia="黑体" w:cs="黑体"/>
          <w:b/>
          <w:color w:val="000000"/>
          <w:kern w:val="0"/>
          <w:sz w:val="36"/>
          <w:szCs w:val="36"/>
          <w:lang w:val="en-US" w:eastAsia="zh-CN" w:bidi="ar"/>
        </w:rPr>
        <w:t>《本科医学教育标准-临床医学专业》相关知识</w:t>
      </w:r>
      <w:bookmarkEnd w:id="22"/>
    </w:p>
    <w:p>
      <w:pPr>
        <w:keepNext w:val="0"/>
        <w:keepLines w:val="0"/>
        <w:widowControl/>
        <w:suppressLineNumbers w:val="0"/>
        <w:jc w:val="center"/>
        <w:rPr>
          <w:rFonts w:hint="eastAsia" w:ascii="黑体" w:hAnsi="宋体" w:eastAsia="黑体" w:cs="黑体"/>
          <w:b/>
          <w:color w:val="000000"/>
          <w:kern w:val="0"/>
          <w:sz w:val="36"/>
          <w:szCs w:val="36"/>
          <w:lang w:val="en-US" w:eastAsia="zh-CN" w:bidi="ar"/>
        </w:rPr>
      </w:pPr>
    </w:p>
    <w:p>
      <w:pPr>
        <w:keepNext w:val="0"/>
        <w:keepLines w:val="0"/>
        <w:widowControl/>
        <w:suppressLineNumbers w:val="0"/>
        <w:spacing w:line="360" w:lineRule="auto"/>
        <w:jc w:val="left"/>
        <w:outlineLvl w:val="1"/>
      </w:pPr>
      <w:bookmarkStart w:id="23" w:name="_Toc26871"/>
      <w:r>
        <w:rPr>
          <w:rFonts w:hint="eastAsia" w:ascii="楷体" w:hAnsi="楷体" w:eastAsia="楷体" w:cs="楷体"/>
          <w:color w:val="000000"/>
          <w:kern w:val="0"/>
          <w:sz w:val="22"/>
          <w:szCs w:val="22"/>
          <w:lang w:val="en-US" w:eastAsia="zh-CN" w:bidi="ar"/>
        </w:rPr>
        <w:t>1.《</w:t>
      </w:r>
      <w:r>
        <w:rPr>
          <w:rFonts w:hint="eastAsia" w:ascii="楷体" w:hAnsi="楷体" w:eastAsia="楷体" w:cs="楷体"/>
          <w:b/>
          <w:color w:val="000000"/>
          <w:kern w:val="0"/>
          <w:sz w:val="22"/>
          <w:szCs w:val="22"/>
          <w:lang w:val="en-US" w:eastAsia="zh-CN" w:bidi="ar"/>
        </w:rPr>
        <w:t>本科医学教育标准</w:t>
      </w:r>
      <w:r>
        <w:rPr>
          <w:rFonts w:hint="default" w:ascii="Times New Roman" w:hAnsi="Times New Roman" w:eastAsia="宋体" w:cs="Times New Roman"/>
          <w:b/>
          <w:color w:val="000000"/>
          <w:kern w:val="0"/>
          <w:sz w:val="22"/>
          <w:szCs w:val="22"/>
          <w:lang w:val="en-US" w:eastAsia="zh-CN" w:bidi="ar"/>
        </w:rPr>
        <w:t>——</w:t>
      </w:r>
      <w:r>
        <w:rPr>
          <w:rFonts w:hint="eastAsia" w:ascii="楷体" w:hAnsi="楷体" w:eastAsia="楷体" w:cs="楷体"/>
          <w:b/>
          <w:color w:val="000000"/>
          <w:kern w:val="0"/>
          <w:sz w:val="22"/>
          <w:szCs w:val="22"/>
          <w:lang w:val="en-US" w:eastAsia="zh-CN" w:bidi="ar"/>
        </w:rPr>
        <w:t>临床医学专业（试行）》的制定依据和基础</w:t>
      </w:r>
      <w:bookmarkEnd w:id="23"/>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以《中华人民共和国高等教育法》、《中华人民共和国执业医师法》和教育部有关医学教育政策为依据，在总结我国医学教育合格评估、优秀评估、教学工作水平评估和七年制医学教育教学与学位授予工作评估经验的基础上，提出了本科临床医学专业必须达到的各项教育要求。 </w:t>
      </w:r>
    </w:p>
    <w:p>
      <w:pPr>
        <w:keepNext w:val="0"/>
        <w:keepLines w:val="0"/>
        <w:widowControl/>
        <w:suppressLineNumbers w:val="0"/>
        <w:spacing w:line="360" w:lineRule="auto"/>
        <w:jc w:val="left"/>
        <w:outlineLvl w:val="1"/>
      </w:pPr>
      <w:bookmarkStart w:id="24" w:name="_Toc15998"/>
      <w:r>
        <w:rPr>
          <w:rFonts w:hint="eastAsia" w:ascii="楷体" w:hAnsi="楷体" w:eastAsia="楷体" w:cs="楷体"/>
          <w:b/>
          <w:color w:val="000000"/>
          <w:kern w:val="0"/>
          <w:sz w:val="22"/>
          <w:szCs w:val="22"/>
          <w:lang w:val="en-US" w:eastAsia="zh-CN" w:bidi="ar"/>
        </w:rPr>
        <w:t>2.《本科医学教育标准</w:t>
      </w:r>
      <w:r>
        <w:rPr>
          <w:rFonts w:hint="default" w:ascii="Times New Roman" w:hAnsi="Times New Roman" w:eastAsia="宋体" w:cs="Times New Roman"/>
          <w:b/>
          <w:color w:val="000000"/>
          <w:kern w:val="0"/>
          <w:sz w:val="22"/>
          <w:szCs w:val="22"/>
          <w:lang w:val="en-US" w:eastAsia="zh-CN" w:bidi="ar"/>
        </w:rPr>
        <w:t>—</w:t>
      </w:r>
      <w:r>
        <w:rPr>
          <w:rFonts w:hint="eastAsia" w:ascii="楷体" w:hAnsi="楷体" w:eastAsia="楷体" w:cs="楷体"/>
          <w:b/>
          <w:color w:val="000000"/>
          <w:kern w:val="0"/>
          <w:sz w:val="22"/>
          <w:szCs w:val="22"/>
          <w:lang w:val="en-US" w:eastAsia="zh-CN" w:bidi="ar"/>
        </w:rPr>
        <w:t>临床医学专业（试行）》（以下简称标准）的应用原则</w:t>
      </w:r>
      <w:bookmarkEnd w:id="24"/>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）中国《本科医学教育标准》是参照国际标准制定的我国本土化医学教育标准，是建立我国医学教育认证制度、完善我国医学教育质量保证体系的基本依据。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 xml:space="preserve">）本标准全国通用，但承认不同地区和各个学校之间的差异，尊重各个学校自主办学的权利。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 xml:space="preserve">）各医学院校可根据本标准制订自己的教育目标和教育计划，建立自身教育评估体系和教育质量保障机制。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 xml:space="preserve">）本标准用于医学教育的认证工作，不适用于医学院校的排序。 </w:t>
      </w:r>
    </w:p>
    <w:p>
      <w:pPr>
        <w:keepNext w:val="0"/>
        <w:keepLines w:val="0"/>
        <w:widowControl/>
        <w:suppressLineNumbers w:val="0"/>
        <w:spacing w:line="360" w:lineRule="auto"/>
        <w:jc w:val="left"/>
        <w:outlineLvl w:val="1"/>
      </w:pPr>
      <w:bookmarkStart w:id="25" w:name="_Toc23172"/>
      <w:r>
        <w:rPr>
          <w:rFonts w:hint="eastAsia" w:ascii="楷体" w:hAnsi="楷体" w:eastAsia="楷体" w:cs="楷体"/>
          <w:b/>
          <w:color w:val="000000"/>
          <w:kern w:val="0"/>
          <w:sz w:val="22"/>
          <w:szCs w:val="22"/>
          <w:lang w:val="en-US" w:eastAsia="zh-CN" w:bidi="ar"/>
        </w:rPr>
        <w:t>3.本科临床医学专业教育的目标</w:t>
      </w:r>
      <w:bookmarkEnd w:id="25"/>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培养具有初步临床能力、终身学习能力和良好职业素质的医学毕业生，为学生毕业后继续深造和在各类卫生保健系统执业奠定必要的基础。 </w:t>
      </w:r>
    </w:p>
    <w:p>
      <w:pPr>
        <w:keepNext w:val="0"/>
        <w:keepLines w:val="0"/>
        <w:widowControl/>
        <w:numPr>
          <w:ilvl w:val="0"/>
          <w:numId w:val="3"/>
        </w:numPr>
        <w:suppressLineNumbers w:val="0"/>
        <w:spacing w:line="360" w:lineRule="auto"/>
        <w:jc w:val="left"/>
        <w:outlineLvl w:val="1"/>
        <w:rPr>
          <w:rFonts w:hint="eastAsia" w:ascii="楷体" w:hAnsi="楷体" w:eastAsia="楷体" w:cs="楷体"/>
          <w:b/>
          <w:color w:val="000000"/>
          <w:kern w:val="0"/>
          <w:sz w:val="22"/>
          <w:szCs w:val="22"/>
          <w:lang w:val="en-US" w:eastAsia="zh-CN" w:bidi="ar"/>
        </w:rPr>
      </w:pPr>
      <w:bookmarkStart w:id="26" w:name="_Toc3663"/>
      <w:r>
        <w:rPr>
          <w:rFonts w:hint="eastAsia" w:ascii="楷体" w:hAnsi="楷体" w:eastAsia="楷体" w:cs="楷体"/>
          <w:b/>
          <w:color w:val="000000"/>
          <w:kern w:val="0"/>
          <w:sz w:val="22"/>
          <w:szCs w:val="22"/>
          <w:lang w:val="en-US" w:eastAsia="zh-CN" w:bidi="ar"/>
        </w:rPr>
        <w:t>《标准》的适用对象</w:t>
      </w:r>
      <w:bookmarkEnd w:id="26"/>
      <w:r>
        <w:rPr>
          <w:rFonts w:hint="eastAsia" w:ascii="楷体" w:hAnsi="楷体" w:eastAsia="楷体" w:cs="楷体"/>
          <w:b/>
          <w:color w:val="000000"/>
          <w:kern w:val="0"/>
          <w:sz w:val="22"/>
          <w:szCs w:val="22"/>
          <w:lang w:val="en-US" w:eastAsia="zh-CN" w:bidi="ar"/>
        </w:rPr>
        <w:t xml:space="preserve"> </w:t>
      </w:r>
    </w:p>
    <w:p>
      <w:pPr>
        <w:keepNext w:val="0"/>
        <w:keepLines w:val="0"/>
        <w:widowControl/>
        <w:numPr>
          <w:ilvl w:val="0"/>
          <w:numId w:val="0"/>
        </w:numPr>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本标准以修业五年为基本学制的本科临床医学专业教育为适用对象，只对该专业教育工作的基本方面提出最基本要求。 </w:t>
      </w:r>
    </w:p>
    <w:p>
      <w:pPr>
        <w:keepNext w:val="0"/>
        <w:keepLines w:val="0"/>
        <w:widowControl/>
        <w:suppressLineNumbers w:val="0"/>
        <w:spacing w:line="360" w:lineRule="auto"/>
        <w:jc w:val="left"/>
        <w:outlineLvl w:val="1"/>
      </w:pPr>
      <w:bookmarkStart w:id="27" w:name="_Toc583"/>
      <w:r>
        <w:rPr>
          <w:rFonts w:hint="eastAsia" w:ascii="楷体" w:hAnsi="楷体" w:eastAsia="楷体" w:cs="楷体"/>
          <w:b/>
          <w:color w:val="000000"/>
          <w:kern w:val="0"/>
          <w:sz w:val="22"/>
          <w:szCs w:val="22"/>
          <w:lang w:val="en-US" w:eastAsia="zh-CN" w:bidi="ar"/>
        </w:rPr>
        <w:t>5.《标准》对临床医学专业毕业生提出的基本要求</w:t>
      </w:r>
      <w:bookmarkEnd w:id="27"/>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）思想道德与职业素质要求（</w:t>
      </w:r>
      <w:r>
        <w:rPr>
          <w:rFonts w:hint="default" w:ascii="Times New Roman" w:hAnsi="Times New Roman" w:eastAsia="宋体" w:cs="Times New Roman"/>
          <w:color w:val="000000"/>
          <w:kern w:val="0"/>
          <w:sz w:val="21"/>
          <w:szCs w:val="21"/>
          <w:lang w:val="en-US" w:eastAsia="zh-CN" w:bidi="ar"/>
        </w:rPr>
        <w:t xml:space="preserve">12 </w:t>
      </w:r>
      <w:r>
        <w:rPr>
          <w:rFonts w:hint="eastAsia" w:ascii="宋体" w:hAnsi="宋体" w:eastAsia="宋体" w:cs="宋体"/>
          <w:color w:val="000000"/>
          <w:kern w:val="0"/>
          <w:sz w:val="21"/>
          <w:szCs w:val="21"/>
          <w:lang w:val="en-US" w:eastAsia="zh-CN" w:bidi="ar"/>
        </w:rPr>
        <w:t xml:space="preserve">条）；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）知识要求（</w:t>
      </w:r>
      <w:r>
        <w:rPr>
          <w:rFonts w:hint="default" w:ascii="Times New Roman" w:hAnsi="Times New Roman" w:eastAsia="宋体" w:cs="Times New Roman"/>
          <w:color w:val="000000"/>
          <w:kern w:val="0"/>
          <w:sz w:val="21"/>
          <w:szCs w:val="21"/>
          <w:lang w:val="en-US" w:eastAsia="zh-CN" w:bidi="ar"/>
        </w:rPr>
        <w:t xml:space="preserve">10 </w:t>
      </w:r>
      <w:r>
        <w:rPr>
          <w:rFonts w:hint="eastAsia" w:ascii="宋体" w:hAnsi="宋体" w:eastAsia="宋体" w:cs="宋体"/>
          <w:color w:val="000000"/>
          <w:kern w:val="0"/>
          <w:sz w:val="21"/>
          <w:szCs w:val="21"/>
          <w:lang w:val="en-US" w:eastAsia="zh-CN" w:bidi="ar"/>
        </w:rPr>
        <w:t xml:space="preserve">条）；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）技能要求（</w:t>
      </w:r>
      <w:r>
        <w:rPr>
          <w:rFonts w:hint="default" w:ascii="Times New Roman" w:hAnsi="Times New Roman" w:eastAsia="宋体" w:cs="Times New Roman"/>
          <w:color w:val="000000"/>
          <w:kern w:val="0"/>
          <w:sz w:val="21"/>
          <w:szCs w:val="21"/>
          <w:lang w:val="en-US" w:eastAsia="zh-CN" w:bidi="ar"/>
        </w:rPr>
        <w:t xml:space="preserve">13 </w:t>
      </w:r>
      <w:r>
        <w:rPr>
          <w:rFonts w:hint="eastAsia" w:ascii="宋体" w:hAnsi="宋体" w:eastAsia="宋体" w:cs="宋体"/>
          <w:color w:val="000000"/>
          <w:kern w:val="0"/>
          <w:sz w:val="21"/>
          <w:szCs w:val="21"/>
          <w:lang w:val="en-US" w:eastAsia="zh-CN" w:bidi="ar"/>
        </w:rPr>
        <w:t>条）。</w:t>
      </w:r>
    </w:p>
    <w:p>
      <w:pPr>
        <w:keepNext w:val="0"/>
        <w:keepLines w:val="0"/>
        <w:widowControl/>
        <w:suppressLineNumbers w:val="0"/>
        <w:spacing w:line="360" w:lineRule="auto"/>
        <w:jc w:val="left"/>
        <w:outlineLvl w:val="1"/>
      </w:pPr>
      <w:bookmarkStart w:id="28" w:name="_Toc17284"/>
      <w:r>
        <w:rPr>
          <w:rFonts w:hint="eastAsia" w:ascii="楷体" w:hAnsi="楷体" w:eastAsia="楷体" w:cs="楷体"/>
          <w:b/>
          <w:color w:val="000000"/>
          <w:kern w:val="0"/>
          <w:sz w:val="22"/>
          <w:szCs w:val="22"/>
          <w:lang w:val="en-US" w:eastAsia="zh-CN" w:bidi="ar"/>
        </w:rPr>
        <w:t>6.《标准》对临床医学专业教育提出的基本标准</w:t>
      </w:r>
      <w:bookmarkEnd w:id="28"/>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《标准》围绕宗旨及目标、教育计划</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培养方案</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 xml:space="preserve">、学生成绩评定等 </w:t>
      </w:r>
      <w:r>
        <w:rPr>
          <w:rFonts w:hint="default" w:ascii="Times New Roman" w:hAnsi="Times New Roman" w:eastAsia="宋体" w:cs="Times New Roman"/>
          <w:color w:val="000000"/>
          <w:kern w:val="0"/>
          <w:sz w:val="21"/>
          <w:szCs w:val="21"/>
          <w:lang w:val="en-US" w:eastAsia="zh-CN" w:bidi="ar"/>
        </w:rPr>
        <w:t xml:space="preserve">10 </w:t>
      </w:r>
      <w:r>
        <w:rPr>
          <w:rFonts w:hint="eastAsia" w:ascii="宋体" w:hAnsi="宋体" w:eastAsia="宋体" w:cs="宋体"/>
          <w:color w:val="000000"/>
          <w:kern w:val="0"/>
          <w:sz w:val="21"/>
          <w:szCs w:val="21"/>
          <w:lang w:val="en-US" w:eastAsia="zh-CN" w:bidi="ar"/>
        </w:rPr>
        <w:t xml:space="preserve">大领域和 </w:t>
      </w:r>
      <w:r>
        <w:rPr>
          <w:rFonts w:hint="default" w:ascii="Times New Roman" w:hAnsi="Times New Roman" w:eastAsia="宋体" w:cs="Times New Roman"/>
          <w:color w:val="000000"/>
          <w:kern w:val="0"/>
          <w:sz w:val="21"/>
          <w:szCs w:val="21"/>
          <w:lang w:val="en-US" w:eastAsia="zh-CN" w:bidi="ar"/>
        </w:rPr>
        <w:t xml:space="preserve">44 </w:t>
      </w:r>
      <w:r>
        <w:rPr>
          <w:rFonts w:hint="eastAsia" w:ascii="宋体" w:hAnsi="宋体" w:eastAsia="宋体" w:cs="宋体"/>
          <w:color w:val="000000"/>
          <w:kern w:val="0"/>
          <w:sz w:val="21"/>
          <w:szCs w:val="21"/>
          <w:lang w:val="en-US" w:eastAsia="zh-CN" w:bidi="ar"/>
        </w:rPr>
        <w:t>个亚领域分别制定了标准要求，具体的十个方面为：办学宗旨及目标的标准；制定教育计划的标准；学生成绩评定的标准；与学生相关的标准；与教师相关的标准；教育资源标准；教育评价的标准；科学研究的标准；管理和行政的标准；改革与发展的标准。</w:t>
      </w:r>
    </w:p>
    <w:p>
      <w:pPr>
        <w:keepNext w:val="0"/>
        <w:keepLines w:val="0"/>
        <w:widowControl/>
        <w:suppressLineNumbers w:val="0"/>
        <w:spacing w:line="360" w:lineRule="auto"/>
        <w:jc w:val="left"/>
        <w:outlineLvl w:val="1"/>
      </w:pPr>
      <w:bookmarkStart w:id="29" w:name="_Toc1742"/>
      <w:r>
        <w:rPr>
          <w:rFonts w:hint="eastAsia" w:ascii="楷体" w:hAnsi="楷体" w:eastAsia="楷体" w:cs="楷体"/>
          <w:b/>
          <w:color w:val="000000"/>
          <w:kern w:val="0"/>
          <w:sz w:val="22"/>
          <w:szCs w:val="22"/>
          <w:lang w:val="en-US" w:eastAsia="zh-CN" w:bidi="ar"/>
        </w:rPr>
        <w:t>7. 确定办学宗旨和目标需要哪些方面人员的参与</w:t>
      </w:r>
      <w:bookmarkEnd w:id="29"/>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各方面人员包括学校的领导、医学院的行政管理人员、教职人员、学生、用人部门以及政府主管部门或学校的主办者。 </w:t>
      </w:r>
    </w:p>
    <w:p>
      <w:pPr>
        <w:keepNext w:val="0"/>
        <w:keepLines w:val="0"/>
        <w:widowControl/>
        <w:suppressLineNumbers w:val="0"/>
        <w:spacing w:line="360" w:lineRule="auto"/>
        <w:jc w:val="left"/>
        <w:outlineLvl w:val="1"/>
      </w:pPr>
      <w:bookmarkStart w:id="30" w:name="_Toc19612"/>
      <w:r>
        <w:rPr>
          <w:rFonts w:hint="eastAsia" w:ascii="楷体" w:hAnsi="楷体" w:eastAsia="楷体" w:cs="楷体"/>
          <w:b/>
          <w:color w:val="000000"/>
          <w:kern w:val="0"/>
          <w:sz w:val="22"/>
          <w:szCs w:val="22"/>
          <w:lang w:val="en-US" w:eastAsia="zh-CN" w:bidi="ar"/>
        </w:rPr>
        <w:t>8.《标准》对教育计划制定的要求</w:t>
      </w:r>
      <w:bookmarkEnd w:id="30"/>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医学院校制定的教育计划要与培养目标相适应，注重课程设置与教学方法的协同，调动教师的主观能动性，促进学生主动学习的积极性。</w:t>
      </w:r>
    </w:p>
    <w:p>
      <w:pPr>
        <w:keepNext w:val="0"/>
        <w:keepLines w:val="0"/>
        <w:widowControl/>
        <w:suppressLineNumbers w:val="0"/>
        <w:spacing w:line="360" w:lineRule="auto"/>
        <w:jc w:val="left"/>
        <w:outlineLvl w:val="1"/>
      </w:pPr>
      <w:bookmarkStart w:id="31" w:name="_Toc7712"/>
      <w:r>
        <w:rPr>
          <w:rFonts w:hint="eastAsia" w:ascii="楷体" w:hAnsi="楷体" w:eastAsia="楷体" w:cs="楷体"/>
          <w:b/>
          <w:color w:val="000000"/>
          <w:kern w:val="0"/>
          <w:sz w:val="22"/>
          <w:szCs w:val="22"/>
          <w:lang w:val="en-US" w:eastAsia="zh-CN" w:bidi="ar"/>
        </w:rPr>
        <w:t>9.《标准》对课程计划的要求</w:t>
      </w:r>
      <w:bookmarkEnd w:id="31"/>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）医学院校必须依据医疗卫生服务的需要、医学科学的进步和医学模式的转变，制订符合本校实际的课程计划；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 xml:space="preserve">）制订课程计划需要教师、学生的参与和理解；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 xml:space="preserve">）课程计划要明确课程设置模式及基本要求；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 xml:space="preserve">）医学院校应积极开展纵向或（和）横向综合的课程改革，将课程教学内容进行合理整合。课程计划必须体现加强基础、 培养能力、 注重素质和发展个性的原则，课程设置应包括必修课程和选修课程，两者之间的比例可由学校根据实际情况确定。 </w:t>
      </w:r>
    </w:p>
    <w:p>
      <w:pPr>
        <w:keepNext w:val="0"/>
        <w:keepLines w:val="0"/>
        <w:widowControl/>
        <w:suppressLineNumbers w:val="0"/>
        <w:spacing w:line="360" w:lineRule="auto"/>
        <w:jc w:val="left"/>
        <w:outlineLvl w:val="1"/>
      </w:pPr>
      <w:bookmarkStart w:id="32" w:name="_Toc2812"/>
      <w:r>
        <w:rPr>
          <w:rFonts w:hint="eastAsia" w:ascii="楷体" w:hAnsi="楷体" w:eastAsia="楷体" w:cs="楷体"/>
          <w:b/>
          <w:color w:val="000000"/>
          <w:kern w:val="0"/>
          <w:sz w:val="22"/>
          <w:szCs w:val="22"/>
          <w:lang w:val="en-US" w:eastAsia="zh-CN" w:bidi="ar"/>
        </w:rPr>
        <w:t>10. 《标准》对教学方法改革的要求</w:t>
      </w:r>
      <w:bookmarkEnd w:id="32"/>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医学院校必须积极开展以“学生为中心”和“自主学习”为主要内容的教育方式和教学方法改革，注重批判性思维和终身学习能力的培养，关注沟通与协作意识的养成。 </w:t>
      </w:r>
    </w:p>
    <w:p>
      <w:pPr>
        <w:keepNext w:val="0"/>
        <w:keepLines w:val="0"/>
        <w:widowControl/>
        <w:suppressLineNumbers w:val="0"/>
        <w:spacing w:line="360" w:lineRule="auto"/>
        <w:jc w:val="left"/>
        <w:outlineLvl w:val="1"/>
      </w:pPr>
      <w:bookmarkStart w:id="33" w:name="_Toc413"/>
      <w:r>
        <w:rPr>
          <w:rFonts w:hint="eastAsia" w:ascii="楷体" w:hAnsi="楷体" w:eastAsia="楷体" w:cs="楷体"/>
          <w:b/>
          <w:color w:val="000000"/>
          <w:kern w:val="0"/>
          <w:sz w:val="22"/>
          <w:szCs w:val="22"/>
          <w:lang w:val="en-US" w:eastAsia="zh-CN" w:bidi="ar"/>
        </w:rPr>
        <w:t>11.《标准》对六类课程设置的要求</w:t>
      </w:r>
      <w:bookmarkEnd w:id="33"/>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）思想道德修养课程；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 xml:space="preserve">）自然科学课程通常包括数学及物理、化学等，为医学生学习医学科学的基础理论、基本知识、基本技能打下基础。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 xml:space="preserve">）生物医学课程通常包括人体解剖学、组织学与胚胎学、生物化学、生理学、分子生物学、细胞生物学、病原生物学、医学遗传学、医学免疫学、药理学、病理学、病理生理学等课程的内容，还包括体现这些生物医学内容的整合课程等形式的课，为医学生学习临床专业课程打下坚实基础。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 xml:space="preserve">）行为科学、人文社会科学以及医学伦理学课程通常包括心理学、社会医学、医学社会学、医学伦理学、卫生经济学、卫生法学、卫生事业管理等学科的内容，以适应医学科学的发展和医疗卫生服务需求。人文素质教育课程通常包括文学艺术类、医学史等知识内容。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 xml:space="preserve">）公共卫生课程通常指预防医学和（或）卫生学等课程，涵盖流行病学、卫生统计学、健康教育、初级卫生保健以及劳动卫生与职业病学、卫生毒理学、环境卫生学、营养与食品卫生学、儿少卫生学、妇幼保健学等有关内容，培养学生的预防战略和公共卫生意识，使其掌握群体保健的知识和技能。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 xml:space="preserve">）临床医学课程通常包括诊断学、内科学（包括传染病学、神经病学、精神病学）、外科学、妇产科学、儿科学、眼科学、耳鼻咽喉科学、口腔医学、皮肤性病学、麻醉学、急诊医学、康复医学、老年医学、中医学、全科医学、循证医学等课程的内容和临床见习，还包括体现这些临床医学内容的整合课程等形式的课程。临床能力包括病史采集、体格检查、辅助检查、诊断与鉴别诊断、制定和执行诊疗计划、临床操作、临床思维、急诊处理、沟通技能等。 </w:t>
      </w:r>
    </w:p>
    <w:p>
      <w:pPr>
        <w:keepNext w:val="0"/>
        <w:keepLines w:val="0"/>
        <w:widowControl/>
        <w:suppressLineNumbers w:val="0"/>
        <w:spacing w:line="360" w:lineRule="auto"/>
        <w:jc w:val="left"/>
        <w:outlineLvl w:val="1"/>
      </w:pPr>
      <w:bookmarkStart w:id="34" w:name="_Toc465"/>
      <w:r>
        <w:rPr>
          <w:rFonts w:hint="eastAsia" w:ascii="楷体" w:hAnsi="楷体" w:eastAsia="楷体" w:cs="楷体"/>
          <w:b/>
          <w:color w:val="000000"/>
          <w:kern w:val="0"/>
          <w:sz w:val="22"/>
          <w:szCs w:val="22"/>
          <w:lang w:val="en-US" w:eastAsia="zh-CN" w:bidi="ar"/>
        </w:rPr>
        <w:t>12.《标准》对临床课程教学的具体要求</w:t>
      </w:r>
      <w:bookmarkEnd w:id="34"/>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）课程计划中必须安排临床医学课程及临床实践教学，提倡早期接触临床，利用模拟教学进行临床操作基本技能的初步训练。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）课程计划中必须制订临床毕业实习大纲，安排不少于</w:t>
      </w:r>
      <w:r>
        <w:rPr>
          <w:rFonts w:hint="default" w:ascii="Times New Roman" w:hAnsi="Times New Roman" w:eastAsia="宋体" w:cs="Times New Roman"/>
          <w:color w:val="000000"/>
          <w:kern w:val="0"/>
          <w:sz w:val="21"/>
          <w:szCs w:val="21"/>
          <w:lang w:val="en-US" w:eastAsia="zh-CN" w:bidi="ar"/>
        </w:rPr>
        <w:t>48</w:t>
      </w:r>
      <w:r>
        <w:rPr>
          <w:rFonts w:hint="eastAsia" w:ascii="宋体" w:hAnsi="宋体" w:eastAsia="宋体" w:cs="宋体"/>
          <w:color w:val="000000"/>
          <w:kern w:val="0"/>
          <w:sz w:val="21"/>
          <w:szCs w:val="21"/>
          <w:lang w:val="en-US" w:eastAsia="zh-CN" w:bidi="ar"/>
        </w:rPr>
        <w:t xml:space="preserve">周的毕业实习，确保学生获得足够的临床经验和能力。 </w:t>
      </w:r>
    </w:p>
    <w:p>
      <w:pPr>
        <w:keepNext w:val="0"/>
        <w:keepLines w:val="0"/>
        <w:widowControl/>
        <w:suppressLineNumbers w:val="0"/>
        <w:spacing w:line="360" w:lineRule="auto"/>
        <w:jc w:val="left"/>
        <w:outlineLvl w:val="1"/>
      </w:pPr>
      <w:bookmarkStart w:id="35" w:name="_Toc16865"/>
      <w:r>
        <w:rPr>
          <w:rFonts w:hint="eastAsia" w:ascii="楷体" w:hAnsi="楷体" w:eastAsia="楷体" w:cs="楷体"/>
          <w:b/>
          <w:color w:val="000000"/>
          <w:kern w:val="0"/>
          <w:sz w:val="22"/>
          <w:szCs w:val="22"/>
          <w:lang w:val="en-US" w:eastAsia="zh-CN" w:bidi="ar"/>
        </w:rPr>
        <w:t>13．关于自主学习</w:t>
      </w:r>
      <w:bookmarkEnd w:id="35"/>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自主学习是学生更具自己的学习需求，自主设计学习目标、学习策略、学习方法，独立完成学习过程并做出自我评价。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重要原则：（</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）学生自己学习；（</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）学生对自己的学习有控制权，可以选择学习地点、时间、内容、方式，对学习顺序、判断个人学习需求、鉴别学习资源、决定学习时间和节奏富有责任；（</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）鼓励学生形成自己的学习计划；（</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）根据不同学生的学习需求开展个体化教育；（</w:t>
      </w:r>
      <w:r>
        <w:rPr>
          <w:rFonts w:hint="default" w:ascii="Times New Roman" w:hAnsi="Times New Roman" w:eastAsia="宋体" w:cs="Times New Roman"/>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）有一定的学习资源和学习指南支持自主学习；（</w:t>
      </w:r>
      <w:r>
        <w:rPr>
          <w:rFonts w:hint="default" w:ascii="Times New Roman" w:hAnsi="Times New Roman" w:eastAsia="宋体" w:cs="Times New Roman"/>
          <w:color w:val="000000"/>
          <w:kern w:val="0"/>
          <w:sz w:val="21"/>
          <w:szCs w:val="21"/>
          <w:lang w:val="en-US" w:eastAsia="zh-CN" w:bidi="ar"/>
        </w:rPr>
        <w:t>6</w:t>
      </w:r>
      <w:r>
        <w:rPr>
          <w:rFonts w:hint="eastAsia" w:ascii="宋体" w:hAnsi="宋体" w:eastAsia="宋体" w:cs="宋体"/>
          <w:color w:val="000000"/>
          <w:kern w:val="0"/>
          <w:sz w:val="21"/>
          <w:szCs w:val="21"/>
          <w:lang w:val="en-US" w:eastAsia="zh-CN" w:bidi="ar"/>
        </w:rPr>
        <w:t>）教师由授课者转变为学习过程的管理者。</w:t>
      </w:r>
    </w:p>
    <w:p>
      <w:pPr>
        <w:keepNext w:val="0"/>
        <w:keepLines w:val="0"/>
        <w:widowControl/>
        <w:suppressLineNumbers w:val="0"/>
        <w:spacing w:line="360" w:lineRule="auto"/>
        <w:jc w:val="left"/>
        <w:outlineLvl w:val="1"/>
      </w:pPr>
      <w:bookmarkStart w:id="36" w:name="_Toc14556"/>
      <w:r>
        <w:rPr>
          <w:rFonts w:hint="eastAsia" w:ascii="楷体" w:hAnsi="楷体" w:eastAsia="楷体" w:cs="楷体"/>
          <w:b/>
          <w:color w:val="000000"/>
          <w:kern w:val="0"/>
          <w:sz w:val="22"/>
          <w:szCs w:val="22"/>
          <w:lang w:val="en-US" w:eastAsia="zh-CN" w:bidi="ar"/>
        </w:rPr>
        <w:t>14．关于课程整合</w:t>
      </w:r>
      <w:bookmarkEnd w:id="36"/>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横向整合是将一年或每年不同课程间的整合。是通过以系统为主的教学替代以学科为主的教学来实施，教学重点从单个学科转移到人体系统的综合教学。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纵向整合是将不同学习阶段或多年的不同课程整合，是指以人体系统为基础的临床学科与基础学科的整合。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整合的目的不仅仅是减少教学时数和学科间的重复，更重要的是加强学科间的联系和有机融合，培养学生整合只是和综合思考的能力。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课程整合必须有整合式的教学团队、整合式的教学方法和整合式的评价方法作为支撑。</w:t>
      </w:r>
      <w:r>
        <w:rPr>
          <w:rFonts w:hint="eastAsia" w:ascii="楷体" w:hAnsi="楷体" w:eastAsia="楷体" w:cs="楷体"/>
          <w:b/>
          <w:color w:val="000000"/>
          <w:kern w:val="0"/>
          <w:sz w:val="22"/>
          <w:szCs w:val="22"/>
          <w:lang w:val="en-US" w:eastAsia="zh-CN" w:bidi="ar"/>
        </w:rPr>
        <w:t xml:space="preserve"> </w:t>
      </w:r>
    </w:p>
    <w:p>
      <w:pPr>
        <w:keepNext w:val="0"/>
        <w:keepLines w:val="0"/>
        <w:widowControl/>
        <w:numPr>
          <w:ilvl w:val="0"/>
          <w:numId w:val="4"/>
        </w:numPr>
        <w:suppressLineNumbers w:val="0"/>
        <w:spacing w:line="360" w:lineRule="auto"/>
        <w:jc w:val="left"/>
        <w:outlineLvl w:val="1"/>
        <w:rPr>
          <w:rFonts w:hint="eastAsia" w:ascii="楷体" w:hAnsi="楷体" w:eastAsia="楷体" w:cs="楷体"/>
          <w:b/>
          <w:color w:val="000000"/>
          <w:kern w:val="0"/>
          <w:sz w:val="22"/>
          <w:szCs w:val="22"/>
          <w:lang w:val="en-US" w:eastAsia="zh-CN" w:bidi="ar"/>
        </w:rPr>
      </w:pPr>
      <w:bookmarkStart w:id="37" w:name="_Toc731"/>
      <w:r>
        <w:rPr>
          <w:rFonts w:hint="eastAsia" w:ascii="楷体" w:hAnsi="楷体" w:eastAsia="楷体" w:cs="楷体"/>
          <w:b/>
          <w:color w:val="000000"/>
          <w:kern w:val="0"/>
          <w:sz w:val="22"/>
          <w:szCs w:val="22"/>
          <w:lang w:val="en-US" w:eastAsia="zh-CN" w:bidi="ar"/>
        </w:rPr>
        <w:t>《标准》对学生成绩评定体系的要求</w:t>
      </w:r>
      <w:bookmarkEnd w:id="37"/>
    </w:p>
    <w:p>
      <w:pPr>
        <w:keepNext w:val="0"/>
        <w:keepLines w:val="0"/>
        <w:widowControl/>
        <w:numPr>
          <w:ilvl w:val="0"/>
          <w:numId w:val="0"/>
        </w:numPr>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医学院校必须建立学生学业成绩全过程评定体系和评定标准，积极开展考试方法的研究，应用和借鉴各种先进的考试方法，如多站的客观结构化临床考试、计算机模拟病例考试等。对学生考核类型及成绩评定方法有明确的规定和说明，以便全面评价学生的知识、技能、行为、态度、 分析与解决问题能力、获取知识能力及人际交流能力。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评定体系包括形成性评价体系和终结性评价体系。形成性评价包括测验、观察记录、查阅实习手册等，终结性评价包括课程结束考试及毕业综合考试等。 </w:t>
      </w:r>
    </w:p>
    <w:p>
      <w:pPr>
        <w:keepNext w:val="0"/>
        <w:keepLines w:val="0"/>
        <w:widowControl/>
        <w:suppressLineNumbers w:val="0"/>
        <w:spacing w:line="360" w:lineRule="auto"/>
        <w:jc w:val="left"/>
        <w:outlineLvl w:val="1"/>
      </w:pPr>
      <w:bookmarkStart w:id="38" w:name="_Toc23227"/>
      <w:r>
        <w:rPr>
          <w:rFonts w:hint="eastAsia" w:ascii="楷体" w:hAnsi="楷体" w:eastAsia="楷体" w:cs="楷体"/>
          <w:b/>
          <w:color w:val="000000"/>
          <w:kern w:val="0"/>
          <w:sz w:val="22"/>
          <w:szCs w:val="22"/>
          <w:lang w:val="en-US" w:eastAsia="zh-CN" w:bidi="ar"/>
        </w:rPr>
        <w:t>16．考试与学习之间的关系</w:t>
      </w:r>
      <w:bookmarkEnd w:id="38"/>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提倡进行综合考试，以鼓励学生融会贯通地学习；提倡学生自我评估，以促进学生主动学习能力的形成。同时，考试频次和类型应注意发挥考试对学习的导向作用。 </w:t>
      </w:r>
    </w:p>
    <w:p>
      <w:pPr>
        <w:keepNext w:val="0"/>
        <w:keepLines w:val="0"/>
        <w:widowControl/>
        <w:suppressLineNumbers w:val="0"/>
        <w:spacing w:line="360" w:lineRule="auto"/>
        <w:jc w:val="left"/>
        <w:outlineLvl w:val="1"/>
      </w:pPr>
      <w:bookmarkStart w:id="39" w:name="_Toc10611"/>
      <w:r>
        <w:rPr>
          <w:rFonts w:hint="eastAsia" w:ascii="楷体" w:hAnsi="楷体" w:eastAsia="楷体" w:cs="楷体"/>
          <w:b/>
          <w:color w:val="000000"/>
          <w:kern w:val="0"/>
          <w:sz w:val="22"/>
          <w:szCs w:val="22"/>
          <w:lang w:val="en-US" w:eastAsia="zh-CN" w:bidi="ar"/>
        </w:rPr>
        <w:t>17．《标准》对考试结果的分析与反馈的要求</w:t>
      </w:r>
      <w:bookmarkEnd w:id="39"/>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在所有考试完成后必须进行</w:t>
      </w:r>
      <w:r>
        <w:rPr>
          <w:rFonts w:hint="eastAsia" w:ascii="宋体" w:hAnsi="宋体" w:eastAsia="宋体" w:cs="宋体"/>
          <w:b/>
          <w:bCs/>
          <w:color w:val="000000"/>
          <w:kern w:val="0"/>
          <w:sz w:val="21"/>
          <w:szCs w:val="21"/>
          <w:u w:val="single"/>
          <w:lang w:val="en-US" w:eastAsia="zh-CN" w:bidi="ar"/>
        </w:rPr>
        <w:t>基于教育测量学的考试分析</w:t>
      </w:r>
      <w:r>
        <w:rPr>
          <w:rFonts w:hint="eastAsia" w:ascii="宋体" w:hAnsi="宋体" w:eastAsia="宋体" w:cs="宋体"/>
          <w:color w:val="000000"/>
          <w:kern w:val="0"/>
          <w:sz w:val="21"/>
          <w:szCs w:val="21"/>
          <w:lang w:val="en-US" w:eastAsia="zh-CN" w:bidi="ar"/>
        </w:rPr>
        <w:t>，该分析包括整体结果、考试信度和效度、试题难度和区分度，以及专业内容分析。然后将结果以适当方式</w:t>
      </w:r>
      <w:r>
        <w:rPr>
          <w:rFonts w:hint="eastAsia" w:ascii="宋体" w:hAnsi="宋体" w:eastAsia="宋体" w:cs="宋体"/>
          <w:b/>
          <w:bCs/>
          <w:color w:val="000000"/>
          <w:kern w:val="0"/>
          <w:sz w:val="21"/>
          <w:szCs w:val="21"/>
          <w:u w:val="single"/>
          <w:lang w:val="en-US" w:eastAsia="zh-CN" w:bidi="ar"/>
        </w:rPr>
        <w:t>反馈</w:t>
      </w:r>
      <w:r>
        <w:rPr>
          <w:rFonts w:hint="eastAsia" w:ascii="宋体" w:hAnsi="宋体" w:eastAsia="宋体" w:cs="宋体"/>
          <w:color w:val="000000"/>
          <w:kern w:val="0"/>
          <w:sz w:val="21"/>
          <w:szCs w:val="21"/>
          <w:lang w:val="en-US" w:eastAsia="zh-CN" w:bidi="ar"/>
        </w:rPr>
        <w:t xml:space="preserve">给有关学生、教师和教学管理人员，最后将其用于改进教学。 </w:t>
      </w:r>
    </w:p>
    <w:p>
      <w:pPr>
        <w:keepNext w:val="0"/>
        <w:keepLines w:val="0"/>
        <w:widowControl/>
        <w:suppressLineNumbers w:val="0"/>
        <w:spacing w:line="360" w:lineRule="auto"/>
        <w:jc w:val="left"/>
        <w:outlineLvl w:val="1"/>
      </w:pPr>
      <w:bookmarkStart w:id="40" w:name="_Toc4723"/>
      <w:r>
        <w:rPr>
          <w:rFonts w:hint="eastAsia" w:ascii="楷体" w:hAnsi="楷体" w:eastAsia="楷体" w:cs="楷体"/>
          <w:b/>
          <w:color w:val="000000"/>
          <w:kern w:val="0"/>
          <w:sz w:val="22"/>
          <w:szCs w:val="22"/>
          <w:lang w:val="en-US" w:eastAsia="zh-CN" w:bidi="ar"/>
        </w:rPr>
        <w:t>18．《标准》对提供学生支持与咨询服务的要求</w:t>
      </w:r>
      <w:bookmarkEnd w:id="40"/>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）医学院校必须建立相应机构，配备专门人员对学生提供必需的支持服务；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 xml:space="preserve">）必须就课程选修、成绩评定向学生提供咨询和指导服务，对学生在学习、心理、就业、生活、勤工助学等方面予以指导。 </w:t>
      </w:r>
    </w:p>
    <w:p>
      <w:pPr>
        <w:keepNext w:val="0"/>
        <w:keepLines w:val="0"/>
        <w:widowControl/>
        <w:suppressLineNumbers w:val="0"/>
        <w:spacing w:line="360" w:lineRule="auto"/>
        <w:jc w:val="left"/>
        <w:outlineLvl w:val="1"/>
      </w:pPr>
      <w:bookmarkStart w:id="41" w:name="_Toc3948"/>
      <w:r>
        <w:rPr>
          <w:rFonts w:hint="eastAsia" w:ascii="楷体" w:hAnsi="楷体" w:eastAsia="楷体" w:cs="楷体"/>
          <w:b/>
          <w:color w:val="000000"/>
          <w:kern w:val="0"/>
          <w:sz w:val="22"/>
          <w:szCs w:val="22"/>
          <w:lang w:val="en-US" w:eastAsia="zh-CN" w:bidi="ar"/>
        </w:rPr>
        <w:t>19．《标准》对吸收学生代表参与学校事务管理的要求</w:t>
      </w:r>
      <w:bookmarkEnd w:id="41"/>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）医学院校必须吸收和鼓励学生代表参与学校管理、教学改革、课程计划的制订和评估以及其他与学生有关的事务； </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）支持学生依法成立学生组织，指导鼓励学生开展社团活动，并为之提供必要的设备和场所。</w:t>
      </w:r>
    </w:p>
    <w:p>
      <w:pPr>
        <w:keepNext w:val="0"/>
        <w:keepLines w:val="0"/>
        <w:widowControl/>
        <w:suppressLineNumbers w:val="0"/>
        <w:spacing w:line="360" w:lineRule="auto"/>
        <w:jc w:val="left"/>
        <w:outlineLvl w:val="1"/>
      </w:pPr>
      <w:bookmarkStart w:id="42" w:name="_Toc2625"/>
      <w:r>
        <w:rPr>
          <w:rFonts w:hint="eastAsia" w:ascii="楷体" w:hAnsi="楷体" w:eastAsia="楷体" w:cs="楷体"/>
          <w:b/>
          <w:color w:val="000000"/>
          <w:kern w:val="0"/>
          <w:sz w:val="22"/>
          <w:szCs w:val="22"/>
          <w:lang w:val="en-US" w:eastAsia="zh-CN" w:bidi="ar"/>
        </w:rPr>
        <w:t>20．临床教学基地的三种类型</w:t>
      </w:r>
      <w:bookmarkEnd w:id="42"/>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临床教学基地按与医学院的关系及所承担的任务，基本上可以分为附属医院、教学医院和实习医院三类。 </w:t>
      </w:r>
    </w:p>
    <w:p>
      <w:pPr>
        <w:keepNext w:val="0"/>
        <w:keepLines w:val="0"/>
        <w:widowControl/>
        <w:suppressLineNumbers w:val="0"/>
        <w:spacing w:line="360" w:lineRule="auto"/>
        <w:jc w:val="left"/>
        <w:outlineLvl w:val="1"/>
      </w:pPr>
      <w:bookmarkStart w:id="43" w:name="_Toc14195"/>
      <w:r>
        <w:rPr>
          <w:rFonts w:hint="eastAsia" w:ascii="楷体" w:hAnsi="楷体" w:eastAsia="楷体" w:cs="楷体"/>
          <w:b/>
          <w:color w:val="000000"/>
          <w:kern w:val="0"/>
          <w:sz w:val="22"/>
          <w:szCs w:val="22"/>
          <w:lang w:val="en-US" w:eastAsia="zh-CN" w:bidi="ar"/>
        </w:rPr>
        <w:t>21．学校教育交流的方式</w:t>
      </w:r>
      <w:bookmarkEnd w:id="43"/>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ind w:firstLine="420" w:firstLineChars="200"/>
        <w:jc w:val="left"/>
      </w:pPr>
      <w:r>
        <w:rPr>
          <w:rFonts w:hint="eastAsia" w:ascii="宋体" w:hAnsi="宋体" w:eastAsia="宋体" w:cs="宋体"/>
          <w:color w:val="000000"/>
          <w:kern w:val="0"/>
          <w:sz w:val="21"/>
          <w:szCs w:val="21"/>
          <w:lang w:val="en-US" w:eastAsia="zh-CN" w:bidi="ar"/>
        </w:rPr>
        <w:t xml:space="preserve">学校间或者学校与其他高等教育机构建立合作及学分互认机制，该机制可通过医学院校之间认可课程来实现；提供适当资源，促进教师与学生进行地区及国家间的交流。 </w:t>
      </w:r>
    </w:p>
    <w:p>
      <w:pPr>
        <w:keepNext w:val="0"/>
        <w:keepLines w:val="0"/>
        <w:widowControl/>
        <w:suppressLineNumbers w:val="0"/>
        <w:spacing w:line="360" w:lineRule="auto"/>
        <w:jc w:val="left"/>
        <w:outlineLvl w:val="1"/>
      </w:pPr>
      <w:bookmarkStart w:id="44" w:name="_Toc15869"/>
      <w:r>
        <w:rPr>
          <w:rFonts w:hint="eastAsia" w:ascii="楷体" w:hAnsi="楷体" w:eastAsia="楷体" w:cs="楷体"/>
          <w:b/>
          <w:color w:val="000000"/>
          <w:kern w:val="0"/>
          <w:sz w:val="22"/>
          <w:szCs w:val="22"/>
          <w:lang w:val="en-US" w:eastAsia="zh-CN" w:bidi="ar"/>
        </w:rPr>
        <w:t>22．《标准》对利益方参与教育与教学评价的要求</w:t>
      </w:r>
      <w:bookmarkEnd w:id="44"/>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）医学院校的教育评价必须有领导、行政管理人员、教职人员和学生参与；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 xml:space="preserve">）教学评价必须有政府主管部门、用人单位、毕业后教育机构的积极参与。 </w:t>
      </w:r>
    </w:p>
    <w:p>
      <w:pPr>
        <w:keepNext w:val="0"/>
        <w:keepLines w:val="0"/>
        <w:widowControl/>
        <w:suppressLineNumbers w:val="0"/>
        <w:spacing w:line="360" w:lineRule="auto"/>
        <w:jc w:val="left"/>
        <w:outlineLvl w:val="1"/>
      </w:pPr>
      <w:bookmarkStart w:id="45" w:name="_Toc2671"/>
      <w:r>
        <w:rPr>
          <w:rFonts w:hint="eastAsia" w:ascii="楷体" w:hAnsi="楷体" w:eastAsia="楷体" w:cs="楷体"/>
          <w:b/>
          <w:color w:val="000000"/>
          <w:kern w:val="0"/>
          <w:sz w:val="22"/>
          <w:szCs w:val="22"/>
          <w:lang w:val="en-US" w:eastAsia="zh-CN" w:bidi="ar"/>
        </w:rPr>
        <w:t>23．《标准》对学生参与科学研究活动有哪些要求？</w:t>
      </w:r>
      <w:bookmarkEnd w:id="45"/>
      <w:r>
        <w:rPr>
          <w:rFonts w:hint="eastAsia" w:ascii="楷体" w:hAnsi="楷体" w:eastAsia="楷体" w:cs="楷体"/>
          <w:b/>
          <w:color w:val="000000"/>
          <w:kern w:val="0"/>
          <w:sz w:val="22"/>
          <w:szCs w:val="22"/>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）医学院校必须将科学研究活动作为培养学生科学素养和创新思维的重要途径，采取积极、有效措施为学生创造参与科学研究的机会与条件。 </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 xml:space="preserve">）课程计划中必须安排适当的综合性、设计性实验，为学生开设学术讲座、组织科研小组等，积极开展有利于培养学生科研能力的活动。 </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numPr>
          <w:ilvl w:val="0"/>
          <w:numId w:val="1"/>
        </w:numPr>
        <w:suppressLineNumbers w:val="0"/>
        <w:ind w:left="0" w:leftChars="0" w:firstLine="0" w:firstLineChars="0"/>
        <w:jc w:val="center"/>
        <w:outlineLvl w:val="0"/>
        <w:rPr>
          <w:rFonts w:hint="eastAsia" w:ascii="黑体" w:hAnsi="宋体" w:eastAsia="黑体" w:cs="黑体"/>
          <w:b/>
          <w:color w:val="000000"/>
          <w:kern w:val="0"/>
          <w:sz w:val="36"/>
          <w:szCs w:val="36"/>
          <w:lang w:val="en-US" w:eastAsia="zh-CN" w:bidi="ar"/>
        </w:rPr>
      </w:pPr>
      <w:bookmarkStart w:id="46" w:name="_Toc9623"/>
      <w:r>
        <w:rPr>
          <w:rFonts w:hint="eastAsia" w:ascii="黑体" w:hAnsi="宋体" w:eastAsia="黑体" w:cs="黑体"/>
          <w:b/>
          <w:color w:val="000000"/>
          <w:kern w:val="0"/>
          <w:sz w:val="36"/>
          <w:szCs w:val="36"/>
          <w:lang w:val="en-US" w:eastAsia="zh-CN" w:bidi="ar"/>
        </w:rPr>
        <w:t>成都大学临床医学专业相关知识</w:t>
      </w:r>
      <w:bookmarkEnd w:id="46"/>
    </w:p>
    <w:p>
      <w:pPr>
        <w:pStyle w:val="9"/>
        <w:adjustRightInd w:val="0"/>
        <w:snapToGrid w:val="0"/>
        <w:spacing w:before="0" w:after="0" w:line="240" w:lineRule="auto"/>
        <w:ind w:firstLine="482" w:firstLineChars="200"/>
        <w:rPr>
          <w:rFonts w:hint="eastAsia" w:ascii="仿宋" w:hAnsi="仿宋" w:eastAsia="仿宋" w:cs="仿宋"/>
          <w:b/>
          <w:sz w:val="24"/>
          <w:szCs w:val="24"/>
          <w:lang w:val="en-US" w:eastAsia="zh-CN"/>
        </w:rPr>
      </w:pPr>
    </w:p>
    <w:p>
      <w:pPr>
        <w:pStyle w:val="9"/>
        <w:adjustRightInd w:val="0"/>
        <w:snapToGrid w:val="0"/>
        <w:spacing w:before="0" w:after="0" w:line="360" w:lineRule="auto"/>
        <w:ind w:firstLine="442" w:firstLineChars="200"/>
        <w:outlineLvl w:val="1"/>
        <w:rPr>
          <w:rFonts w:hint="eastAsia" w:ascii="楷体" w:hAnsi="楷体" w:eastAsia="楷体" w:cs="楷体"/>
          <w:b/>
          <w:color w:val="000000"/>
          <w:kern w:val="0"/>
          <w:sz w:val="22"/>
          <w:szCs w:val="22"/>
          <w:lang w:val="en-US" w:eastAsia="zh-CN" w:bidi="ar"/>
        </w:rPr>
      </w:pPr>
      <w:bookmarkStart w:id="47" w:name="_Toc12435"/>
      <w:r>
        <w:rPr>
          <w:rFonts w:hint="eastAsia" w:ascii="楷体" w:hAnsi="楷体" w:eastAsia="楷体" w:cs="楷体"/>
          <w:b/>
          <w:color w:val="000000"/>
          <w:kern w:val="0"/>
          <w:sz w:val="22"/>
          <w:szCs w:val="22"/>
          <w:lang w:val="en-US" w:eastAsia="zh-CN" w:bidi="ar"/>
        </w:rPr>
        <w:t>1.办学情况</w:t>
      </w:r>
      <w:bookmarkEnd w:id="47"/>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临床医学专业办学历史可追溯到1978年委托原四川医学院（现四川大学华西医学中心）培养的首届临床医学本科班。成都卫生学校期间，1958年开始了医士（临床医学）专业教学。2012年经教育部卫生部审核通过，同年9月开始临床医学本科招生，已招收临床医学本科学生共8届，计503人。2001年，附属医院（临床医学院）成为遵义科大学硕士研究生临床培养基地，现有硕士研究生导师9名，共培养硕士研究生102名。</w:t>
      </w:r>
    </w:p>
    <w:p>
      <w:pPr>
        <w:pStyle w:val="9"/>
        <w:adjustRightInd w:val="0"/>
        <w:snapToGrid w:val="0"/>
        <w:spacing w:before="0" w:after="0" w:line="360" w:lineRule="auto"/>
        <w:ind w:firstLine="442" w:firstLineChars="200"/>
        <w:outlineLvl w:val="1"/>
        <w:rPr>
          <w:rFonts w:hint="eastAsia" w:ascii="楷体" w:hAnsi="楷体" w:eastAsia="楷体" w:cs="楷体"/>
          <w:b/>
          <w:color w:val="000000"/>
          <w:kern w:val="0"/>
          <w:sz w:val="22"/>
          <w:szCs w:val="22"/>
          <w:lang w:val="en-US" w:eastAsia="zh-CN" w:bidi="ar"/>
        </w:rPr>
      </w:pPr>
      <w:bookmarkStart w:id="48" w:name="_Toc8309"/>
      <w:r>
        <w:rPr>
          <w:rFonts w:hint="eastAsia" w:ascii="楷体" w:hAnsi="楷体" w:eastAsia="楷体" w:cs="楷体"/>
          <w:b/>
          <w:color w:val="000000"/>
          <w:kern w:val="0"/>
          <w:sz w:val="22"/>
          <w:szCs w:val="22"/>
          <w:lang w:val="en-US" w:eastAsia="zh-CN" w:bidi="ar"/>
        </w:rPr>
        <w:t>2.临床医学专业的培养目标及质量标准</w:t>
      </w:r>
      <w:bookmarkEnd w:id="48"/>
    </w:p>
    <w:p>
      <w:pPr>
        <w:pStyle w:val="9"/>
        <w:adjustRightInd w:val="0"/>
        <w:snapToGrid w:val="0"/>
        <w:spacing w:before="0" w:after="0" w:line="360" w:lineRule="auto"/>
        <w:ind w:firstLine="442" w:firstLineChars="200"/>
        <w:rPr>
          <w:rFonts w:hint="eastAsia" w:ascii="宋体" w:hAnsi="宋体" w:eastAsia="宋体" w:cs="宋体"/>
          <w:color w:val="000000"/>
          <w:kern w:val="0"/>
          <w:sz w:val="21"/>
          <w:szCs w:val="21"/>
          <w:lang w:val="en-US" w:eastAsia="zh-CN" w:bidi="ar"/>
        </w:rPr>
      </w:pPr>
      <w:r>
        <w:rPr>
          <w:rFonts w:hint="eastAsia" w:ascii="楷体" w:hAnsi="楷体" w:eastAsia="楷体" w:cs="楷体"/>
          <w:b/>
          <w:color w:val="000000"/>
          <w:kern w:val="0"/>
          <w:sz w:val="22"/>
          <w:szCs w:val="22"/>
          <w:lang w:val="en-US" w:eastAsia="zh-CN" w:bidi="ar"/>
        </w:rPr>
        <w:t>培养目标：</w:t>
      </w:r>
      <w:r>
        <w:rPr>
          <w:rFonts w:hint="eastAsia" w:ascii="宋体" w:hAnsi="宋体" w:eastAsia="宋体" w:cs="宋体"/>
          <w:color w:val="000000"/>
          <w:kern w:val="0"/>
          <w:sz w:val="21"/>
          <w:szCs w:val="21"/>
          <w:lang w:val="en-US" w:eastAsia="zh-CN" w:bidi="ar"/>
        </w:rPr>
        <w:t>本专业旨在培养适应我国社会、经济发展需求，树立科学的世界观、人生观、价值观，热爱祖国，忠于人民，遵纪守法，愿为祖国卫生事业的发展和人类身心健康奋斗终生，具有较坚实的医学基本理论、基本知识和临床基本技能，具备初步临床工作能力、自主学习与终身学习能力，以及较高人文素养的医学应用型专业人才。</w:t>
      </w:r>
    </w:p>
    <w:p>
      <w:pPr>
        <w:pStyle w:val="9"/>
        <w:adjustRightInd w:val="0"/>
        <w:snapToGrid w:val="0"/>
        <w:spacing w:before="0" w:after="0" w:line="360" w:lineRule="auto"/>
        <w:ind w:firstLine="442" w:firstLineChars="200"/>
        <w:rPr>
          <w:rFonts w:hint="eastAsia" w:ascii="宋体" w:hAnsi="宋体" w:eastAsia="宋体" w:cs="宋体"/>
          <w:color w:val="000000"/>
          <w:kern w:val="0"/>
          <w:sz w:val="21"/>
          <w:szCs w:val="21"/>
          <w:lang w:val="en-US" w:eastAsia="zh-CN" w:bidi="ar"/>
        </w:rPr>
      </w:pPr>
      <w:r>
        <w:rPr>
          <w:rFonts w:hint="eastAsia" w:ascii="楷体" w:hAnsi="楷体" w:eastAsia="楷体" w:cs="楷体"/>
          <w:b/>
          <w:color w:val="000000"/>
          <w:kern w:val="0"/>
          <w:sz w:val="22"/>
          <w:szCs w:val="22"/>
          <w:lang w:val="en-US" w:eastAsia="zh-CN" w:bidi="ar"/>
        </w:rPr>
        <w:t>质量标准：</w:t>
      </w:r>
      <w:r>
        <w:rPr>
          <w:rFonts w:hint="eastAsia" w:ascii="宋体" w:hAnsi="宋体" w:eastAsia="宋体" w:cs="宋体"/>
          <w:color w:val="000000"/>
          <w:kern w:val="0"/>
          <w:sz w:val="21"/>
          <w:szCs w:val="21"/>
          <w:lang w:val="en-US" w:eastAsia="zh-CN" w:bidi="ar"/>
        </w:rPr>
        <w:t xml:space="preserve">临床医学专业以2008年教育部、卫生部联合颁发的《本科医学教育标准—临床医学专业（试行）》为依据和建设标准，参考（2016版），并将该标准全面实施于医学教育与改革过程中。 </w:t>
      </w:r>
    </w:p>
    <w:p>
      <w:pPr>
        <w:pStyle w:val="9"/>
        <w:adjustRightInd w:val="0"/>
        <w:snapToGrid w:val="0"/>
        <w:spacing w:before="0" w:after="0" w:line="360" w:lineRule="auto"/>
        <w:ind w:firstLine="442" w:firstLineChars="200"/>
        <w:outlineLvl w:val="1"/>
        <w:rPr>
          <w:rFonts w:hint="eastAsia" w:ascii="楷体" w:hAnsi="楷体" w:eastAsia="楷体" w:cs="楷体"/>
          <w:b/>
          <w:color w:val="000000"/>
          <w:kern w:val="0"/>
          <w:sz w:val="22"/>
          <w:szCs w:val="22"/>
          <w:lang w:val="en-US" w:eastAsia="zh-CN" w:bidi="ar"/>
        </w:rPr>
      </w:pPr>
      <w:bookmarkStart w:id="49" w:name="_Toc27585"/>
      <w:r>
        <w:rPr>
          <w:rFonts w:hint="eastAsia" w:ascii="楷体" w:hAnsi="楷体" w:eastAsia="楷体" w:cs="楷体"/>
          <w:b/>
          <w:color w:val="000000"/>
          <w:kern w:val="0"/>
          <w:sz w:val="22"/>
          <w:szCs w:val="22"/>
          <w:lang w:val="en-US" w:eastAsia="zh-CN" w:bidi="ar"/>
        </w:rPr>
        <w:t>3.临床医学专业学制与教学环节</w:t>
      </w:r>
      <w:bookmarkEnd w:id="49"/>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临床医学</w:t>
      </w:r>
      <w:r>
        <w:rPr>
          <w:rFonts w:hint="eastAsia" w:ascii="宋体" w:hAnsi="宋体" w:eastAsia="宋体" w:cs="宋体"/>
          <w:color w:val="000000"/>
          <w:kern w:val="0"/>
          <w:sz w:val="21"/>
          <w:szCs w:val="21"/>
          <w:highlight w:val="none"/>
          <w:lang w:val="en-US" w:eastAsia="zh-CN" w:bidi="ar"/>
        </w:rPr>
        <w:t>专业基本学制5年，修业年限为</w:t>
      </w:r>
      <w:r>
        <w:rPr>
          <w:rFonts w:hint="eastAsia" w:ascii="宋体" w:hAnsi="宋体" w:cs="宋体"/>
          <w:color w:val="000000"/>
          <w:kern w:val="0"/>
          <w:sz w:val="21"/>
          <w:szCs w:val="21"/>
          <w:highlight w:val="none"/>
          <w:lang w:val="en-US" w:eastAsia="zh-CN" w:bidi="ar"/>
        </w:rPr>
        <w:t>5</w:t>
      </w:r>
      <w:r>
        <w:rPr>
          <w:rFonts w:hint="eastAsia" w:ascii="宋体" w:hAnsi="宋体" w:eastAsia="宋体" w:cs="宋体"/>
          <w:color w:val="000000"/>
          <w:kern w:val="0"/>
          <w:sz w:val="21"/>
          <w:szCs w:val="21"/>
          <w:highlight w:val="none"/>
          <w:lang w:val="en-US" w:eastAsia="zh-CN" w:bidi="ar"/>
        </w:rPr>
        <w:t>-</w:t>
      </w:r>
      <w:r>
        <w:rPr>
          <w:rFonts w:hint="eastAsia" w:ascii="宋体" w:hAnsi="宋体" w:cs="宋体"/>
          <w:color w:val="000000"/>
          <w:kern w:val="0"/>
          <w:sz w:val="21"/>
          <w:szCs w:val="21"/>
          <w:highlight w:val="none"/>
          <w:lang w:val="en-US" w:eastAsia="zh-CN" w:bidi="ar"/>
        </w:rPr>
        <w:t>8</w:t>
      </w:r>
      <w:r>
        <w:rPr>
          <w:rFonts w:hint="eastAsia" w:ascii="宋体" w:hAnsi="宋体" w:eastAsia="宋体" w:cs="宋体"/>
          <w:color w:val="000000"/>
          <w:kern w:val="0"/>
          <w:sz w:val="21"/>
          <w:szCs w:val="21"/>
          <w:highlight w:val="none"/>
          <w:lang w:val="en-US" w:eastAsia="zh-CN" w:bidi="ar"/>
        </w:rPr>
        <w:t>年。毕业最低学分为2</w:t>
      </w:r>
      <w:r>
        <w:rPr>
          <w:rFonts w:hint="eastAsia" w:ascii="宋体" w:hAnsi="宋体" w:cs="宋体"/>
          <w:color w:val="000000"/>
          <w:kern w:val="0"/>
          <w:sz w:val="21"/>
          <w:szCs w:val="21"/>
          <w:highlight w:val="none"/>
          <w:lang w:val="en-US" w:eastAsia="zh-CN" w:bidi="ar"/>
        </w:rPr>
        <w:t>4</w:t>
      </w:r>
      <w:r>
        <w:rPr>
          <w:rFonts w:hint="eastAsia" w:ascii="宋体" w:hAnsi="宋体" w:eastAsia="宋体" w:cs="宋体"/>
          <w:color w:val="000000"/>
          <w:kern w:val="0"/>
          <w:sz w:val="21"/>
          <w:szCs w:val="21"/>
          <w:highlight w:val="none"/>
          <w:lang w:val="en-US" w:eastAsia="zh-CN" w:bidi="ar"/>
        </w:rPr>
        <w:t>0学分，课内总学时为</w:t>
      </w:r>
      <w:r>
        <w:rPr>
          <w:rFonts w:hint="eastAsia" w:ascii="宋体" w:hAnsi="宋体" w:cs="宋体"/>
          <w:color w:val="000000"/>
          <w:kern w:val="0"/>
          <w:sz w:val="21"/>
          <w:szCs w:val="21"/>
          <w:highlight w:val="none"/>
          <w:lang w:val="en-US" w:eastAsia="zh-CN" w:bidi="ar"/>
        </w:rPr>
        <w:t>4112</w:t>
      </w:r>
      <w:r>
        <w:rPr>
          <w:rFonts w:hint="eastAsia" w:ascii="宋体" w:hAnsi="宋体" w:eastAsia="宋体" w:cs="宋体"/>
          <w:color w:val="000000"/>
          <w:kern w:val="0"/>
          <w:sz w:val="21"/>
          <w:szCs w:val="21"/>
          <w:highlight w:val="none"/>
          <w:lang w:val="en-US" w:eastAsia="zh-CN" w:bidi="ar"/>
        </w:rPr>
        <w:t>学时。</w:t>
      </w:r>
      <w:r>
        <w:rPr>
          <w:rFonts w:hint="eastAsia" w:ascii="宋体" w:hAnsi="宋体" w:cs="宋体"/>
          <w:color w:val="000000"/>
          <w:kern w:val="0"/>
          <w:sz w:val="21"/>
          <w:szCs w:val="21"/>
          <w:highlight w:val="none"/>
          <w:lang w:val="en-US" w:eastAsia="zh-CN" w:bidi="ar"/>
        </w:rPr>
        <w:t>学</w:t>
      </w:r>
      <w:r>
        <w:rPr>
          <w:rFonts w:hint="eastAsia" w:ascii="宋体" w:hAnsi="宋体" w:cs="宋体"/>
          <w:color w:val="000000"/>
          <w:kern w:val="0"/>
          <w:sz w:val="21"/>
          <w:szCs w:val="21"/>
          <w:lang w:val="en-US" w:eastAsia="zh-CN" w:bidi="ar"/>
        </w:rPr>
        <w:t>科方面</w:t>
      </w:r>
      <w:r>
        <w:rPr>
          <w:rFonts w:hint="eastAsia" w:ascii="宋体" w:hAnsi="宋体" w:eastAsia="宋体" w:cs="宋体"/>
          <w:color w:val="000000"/>
          <w:kern w:val="0"/>
          <w:sz w:val="21"/>
          <w:szCs w:val="21"/>
          <w:lang w:val="en-US" w:eastAsia="zh-CN" w:bidi="ar"/>
        </w:rPr>
        <w:t>实施“2.5+2.5”</w:t>
      </w:r>
      <w:r>
        <w:rPr>
          <w:rFonts w:hint="eastAsia" w:ascii="宋体" w:hAnsi="宋体" w:cs="宋体"/>
          <w:color w:val="000000"/>
          <w:kern w:val="0"/>
          <w:sz w:val="21"/>
          <w:szCs w:val="21"/>
          <w:lang w:val="en-US" w:eastAsia="zh-CN" w:bidi="ar"/>
        </w:rPr>
        <w:t>模式，即</w:t>
      </w:r>
      <w:r>
        <w:rPr>
          <w:rFonts w:hint="eastAsia" w:ascii="宋体" w:hAnsi="宋体" w:eastAsia="宋体" w:cs="宋体"/>
          <w:color w:val="000000"/>
          <w:kern w:val="0"/>
          <w:sz w:val="21"/>
          <w:szCs w:val="21"/>
          <w:lang w:val="en-US" w:eastAsia="zh-CN" w:bidi="ar"/>
        </w:rPr>
        <w:t>基础与临床</w:t>
      </w:r>
      <w:r>
        <w:rPr>
          <w:rFonts w:hint="eastAsia" w:ascii="宋体" w:hAnsi="宋体" w:cs="宋体"/>
          <w:color w:val="000000"/>
          <w:kern w:val="0"/>
          <w:sz w:val="21"/>
          <w:szCs w:val="21"/>
          <w:lang w:val="en-US" w:eastAsia="zh-CN" w:bidi="ar"/>
        </w:rPr>
        <w:t>课程教学各2.5年；学生培养方面实施</w:t>
      </w:r>
      <w:r>
        <w:rPr>
          <w:rFonts w:hint="eastAsia" w:ascii="宋体" w:hAnsi="宋体" w:eastAsia="宋体" w:cs="宋体"/>
          <w:color w:val="000000"/>
          <w:kern w:val="0"/>
          <w:sz w:val="21"/>
          <w:szCs w:val="21"/>
          <w:lang w:val="en-US" w:eastAsia="zh-CN" w:bidi="ar"/>
        </w:rPr>
        <w:t>“</w:t>
      </w:r>
      <w:r>
        <w:rPr>
          <w:rFonts w:hint="eastAsia" w:ascii="宋体" w:hAnsi="宋体" w:cs="宋体"/>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+2”</w:t>
      </w:r>
      <w:r>
        <w:rPr>
          <w:rFonts w:hint="eastAsia" w:ascii="宋体" w:hAnsi="宋体" w:cs="宋体"/>
          <w:color w:val="000000"/>
          <w:kern w:val="0"/>
          <w:sz w:val="21"/>
          <w:szCs w:val="21"/>
          <w:lang w:val="en-US" w:eastAsia="zh-CN" w:bidi="ar"/>
        </w:rPr>
        <w:t>模式，即</w:t>
      </w:r>
      <w:r>
        <w:rPr>
          <w:rFonts w:hint="eastAsia" w:ascii="宋体" w:hAnsi="宋体" w:eastAsia="宋体" w:cs="宋体"/>
          <w:color w:val="000000"/>
          <w:kern w:val="0"/>
          <w:sz w:val="21"/>
          <w:szCs w:val="21"/>
          <w:lang w:val="en-US" w:eastAsia="zh-CN" w:bidi="ar"/>
        </w:rPr>
        <w:t>学生在第</w:t>
      </w:r>
      <w:r>
        <w:rPr>
          <w:rFonts w:hint="eastAsia" w:ascii="宋体" w:hAnsi="宋体" w:cs="宋体"/>
          <w:color w:val="000000"/>
          <w:kern w:val="0"/>
          <w:sz w:val="21"/>
          <w:szCs w:val="21"/>
          <w:lang w:val="en-US" w:eastAsia="zh-CN" w:bidi="ar"/>
        </w:rPr>
        <w:t>1-6</w:t>
      </w:r>
      <w:r>
        <w:rPr>
          <w:rFonts w:hint="eastAsia" w:ascii="宋体" w:hAnsi="宋体" w:eastAsia="宋体" w:cs="宋体"/>
          <w:color w:val="000000"/>
          <w:kern w:val="0"/>
          <w:sz w:val="21"/>
          <w:szCs w:val="21"/>
          <w:lang w:val="en-US" w:eastAsia="zh-CN" w:bidi="ar"/>
        </w:rPr>
        <w:t>学期</w:t>
      </w:r>
      <w:r>
        <w:rPr>
          <w:rFonts w:hint="eastAsia" w:ascii="宋体" w:hAnsi="宋体" w:cs="宋体"/>
          <w:color w:val="000000"/>
          <w:kern w:val="0"/>
          <w:sz w:val="21"/>
          <w:szCs w:val="21"/>
          <w:lang w:val="en-US" w:eastAsia="zh-CN" w:bidi="ar"/>
        </w:rPr>
        <w:t>在学校十陵校区学习，</w:t>
      </w:r>
      <w:r>
        <w:rPr>
          <w:rFonts w:hint="eastAsia" w:ascii="宋体" w:hAnsi="宋体" w:eastAsia="宋体" w:cs="宋体"/>
          <w:color w:val="000000"/>
          <w:kern w:val="0"/>
          <w:sz w:val="21"/>
          <w:szCs w:val="21"/>
          <w:lang w:val="en-US" w:eastAsia="zh-CN" w:bidi="ar"/>
        </w:rPr>
        <w:t>第7</w:t>
      </w:r>
      <w:r>
        <w:rPr>
          <w:rFonts w:hint="eastAsia" w:ascii="宋体" w:hAnsi="宋体" w:cs="宋体"/>
          <w:color w:val="000000"/>
          <w:kern w:val="0"/>
          <w:sz w:val="21"/>
          <w:szCs w:val="21"/>
          <w:lang w:val="en-US" w:eastAsia="zh-CN" w:bidi="ar"/>
        </w:rPr>
        <w:t>-10</w:t>
      </w:r>
      <w:r>
        <w:rPr>
          <w:rFonts w:hint="eastAsia" w:ascii="宋体" w:hAnsi="宋体" w:eastAsia="宋体" w:cs="宋体"/>
          <w:color w:val="000000"/>
          <w:kern w:val="0"/>
          <w:sz w:val="21"/>
          <w:szCs w:val="21"/>
          <w:lang w:val="en-US" w:eastAsia="zh-CN" w:bidi="ar"/>
        </w:rPr>
        <w:t>学期</w:t>
      </w:r>
      <w:r>
        <w:rPr>
          <w:rFonts w:hint="eastAsia" w:ascii="宋体" w:hAnsi="宋体" w:cs="宋体"/>
          <w:color w:val="000000"/>
          <w:kern w:val="0"/>
          <w:sz w:val="21"/>
          <w:szCs w:val="21"/>
          <w:lang w:val="en-US" w:eastAsia="zh-CN" w:bidi="ar"/>
        </w:rPr>
        <w:t>在</w:t>
      </w:r>
      <w:r>
        <w:rPr>
          <w:rFonts w:hint="eastAsia" w:ascii="宋体" w:hAnsi="宋体" w:eastAsia="宋体" w:cs="宋体"/>
          <w:color w:val="000000"/>
          <w:kern w:val="0"/>
          <w:sz w:val="21"/>
          <w:szCs w:val="21"/>
          <w:lang w:val="en-US" w:eastAsia="zh-CN" w:bidi="ar"/>
        </w:rPr>
        <w:t>临床医学院</w:t>
      </w:r>
      <w:r>
        <w:rPr>
          <w:rFonts w:hint="eastAsia" w:ascii="宋体" w:hAnsi="宋体" w:cs="宋体"/>
          <w:color w:val="000000"/>
          <w:kern w:val="0"/>
          <w:sz w:val="21"/>
          <w:szCs w:val="21"/>
          <w:lang w:val="en-US" w:eastAsia="zh-CN" w:bidi="ar"/>
        </w:rPr>
        <w:t>进行</w:t>
      </w:r>
      <w:r>
        <w:rPr>
          <w:rFonts w:hint="eastAsia" w:ascii="宋体" w:hAnsi="宋体" w:eastAsia="宋体" w:cs="宋体"/>
          <w:color w:val="000000"/>
          <w:kern w:val="0"/>
          <w:sz w:val="21"/>
          <w:szCs w:val="21"/>
          <w:lang w:val="en-US" w:eastAsia="zh-CN" w:bidi="ar"/>
        </w:rPr>
        <w:t>床旁教学</w:t>
      </w:r>
      <w:r>
        <w:rPr>
          <w:rFonts w:hint="eastAsia" w:ascii="宋体" w:hAnsi="宋体" w:cs="宋体"/>
          <w:color w:val="000000"/>
          <w:kern w:val="0"/>
          <w:sz w:val="21"/>
          <w:szCs w:val="21"/>
          <w:lang w:val="en-US" w:eastAsia="zh-CN" w:bidi="ar"/>
        </w:rPr>
        <w:t>和临床实习</w:t>
      </w:r>
      <w:r>
        <w:rPr>
          <w:rFonts w:hint="eastAsia" w:ascii="宋体" w:hAnsi="宋体" w:eastAsia="宋体" w:cs="宋体"/>
          <w:color w:val="000000"/>
          <w:kern w:val="0"/>
          <w:sz w:val="21"/>
          <w:szCs w:val="21"/>
          <w:lang w:val="en-US" w:eastAsia="zh-CN" w:bidi="ar"/>
        </w:rPr>
        <w:t>。在第6学期结束时在社区卫生服务中心进行2周的临床实践教学活动。第9、10学期安排毕业实习48周：内科16周，外科16周，妇产科6周，儿科6周，其他4周。</w:t>
      </w:r>
      <w:bookmarkStart w:id="66" w:name="_GoBack"/>
      <w:bookmarkEnd w:id="66"/>
    </w:p>
    <w:p>
      <w:pPr>
        <w:pStyle w:val="9"/>
        <w:adjustRightInd w:val="0"/>
        <w:snapToGrid w:val="0"/>
        <w:spacing w:before="0" w:after="0" w:line="360" w:lineRule="auto"/>
        <w:ind w:firstLine="442" w:firstLineChars="200"/>
        <w:outlineLvl w:val="1"/>
        <w:rPr>
          <w:rFonts w:hint="eastAsia" w:ascii="楷体" w:hAnsi="楷体" w:eastAsia="楷体" w:cs="楷体"/>
          <w:b/>
          <w:color w:val="000000"/>
          <w:kern w:val="0"/>
          <w:sz w:val="22"/>
          <w:szCs w:val="22"/>
          <w:lang w:val="en-US" w:eastAsia="zh-CN" w:bidi="ar"/>
        </w:rPr>
      </w:pPr>
      <w:bookmarkStart w:id="50" w:name="_Toc4277"/>
      <w:r>
        <w:rPr>
          <w:rFonts w:hint="eastAsia" w:ascii="楷体" w:hAnsi="楷体" w:eastAsia="楷体" w:cs="楷体"/>
          <w:b/>
          <w:color w:val="000000"/>
          <w:kern w:val="0"/>
          <w:sz w:val="22"/>
          <w:szCs w:val="22"/>
          <w:lang w:val="en-US" w:eastAsia="zh-CN" w:bidi="ar"/>
        </w:rPr>
        <w:t>4.教师数量和结构</w:t>
      </w:r>
      <w:bookmarkEnd w:id="50"/>
    </w:p>
    <w:p>
      <w:pPr>
        <w:pStyle w:val="9"/>
        <w:adjustRightInd w:val="0"/>
        <w:snapToGrid w:val="0"/>
        <w:spacing w:before="0" w:after="0" w:line="360" w:lineRule="auto"/>
        <w:ind w:firstLine="442" w:firstLineChars="200"/>
        <w:rPr>
          <w:rFonts w:hint="eastAsia" w:ascii="宋体" w:hAnsi="宋体" w:eastAsia="宋体" w:cs="宋体"/>
          <w:color w:val="000000"/>
          <w:kern w:val="0"/>
          <w:sz w:val="21"/>
          <w:szCs w:val="21"/>
          <w:lang w:val="en-US" w:eastAsia="zh-CN" w:bidi="ar"/>
        </w:rPr>
      </w:pPr>
      <w:r>
        <w:rPr>
          <w:rFonts w:hint="eastAsia" w:ascii="楷体" w:hAnsi="楷体" w:eastAsia="楷体" w:cs="楷体"/>
          <w:b/>
          <w:color w:val="000000"/>
          <w:kern w:val="0"/>
          <w:sz w:val="22"/>
          <w:szCs w:val="22"/>
          <w:lang w:val="en-US" w:eastAsia="zh-CN" w:bidi="ar"/>
        </w:rPr>
        <w:t>（1）医学院</w:t>
      </w:r>
      <w:r>
        <w:rPr>
          <w:rFonts w:hint="eastAsia" w:ascii="宋体" w:hAnsi="宋体" w:eastAsia="宋体" w:cs="宋体"/>
          <w:color w:val="000000"/>
          <w:kern w:val="0"/>
          <w:sz w:val="21"/>
          <w:szCs w:val="21"/>
          <w:lang w:val="en-US" w:eastAsia="zh-CN" w:bidi="ar"/>
        </w:rPr>
        <w:t>：现有全院教职员工111人，专任教师90人，其中教授7人，占8%；副教授40人，占44%；博士34人，占31.0%；硕士11人，占15.5%；。</w:t>
      </w:r>
    </w:p>
    <w:p>
      <w:pPr>
        <w:pStyle w:val="9"/>
        <w:adjustRightInd w:val="0"/>
        <w:snapToGrid w:val="0"/>
        <w:spacing w:before="0" w:after="0" w:line="360" w:lineRule="auto"/>
        <w:ind w:firstLine="442" w:firstLineChars="200"/>
        <w:rPr>
          <w:rFonts w:hint="eastAsia" w:ascii="宋体" w:hAnsi="宋体" w:eastAsia="宋体" w:cs="宋体"/>
          <w:color w:val="000000"/>
          <w:kern w:val="0"/>
          <w:sz w:val="21"/>
          <w:szCs w:val="21"/>
          <w:lang w:val="en-US" w:eastAsia="zh-CN" w:bidi="ar"/>
        </w:rPr>
      </w:pPr>
      <w:r>
        <w:rPr>
          <w:rFonts w:hint="eastAsia" w:ascii="楷体" w:hAnsi="楷体" w:eastAsia="楷体" w:cs="楷体"/>
          <w:b/>
          <w:color w:val="000000"/>
          <w:kern w:val="0"/>
          <w:sz w:val="22"/>
          <w:szCs w:val="22"/>
          <w:lang w:val="en-US" w:eastAsia="zh-CN" w:bidi="ar"/>
        </w:rPr>
        <w:t>（2）临床医学院：</w:t>
      </w:r>
      <w:r>
        <w:rPr>
          <w:rFonts w:hint="eastAsia" w:ascii="宋体" w:hAnsi="宋体" w:eastAsia="宋体" w:cs="宋体"/>
          <w:color w:val="000000"/>
          <w:kern w:val="0"/>
          <w:sz w:val="21"/>
          <w:szCs w:val="21"/>
          <w:lang w:val="en-US" w:eastAsia="zh-CN" w:bidi="ar"/>
        </w:rPr>
        <w:t xml:space="preserve">现有专任教师71人。正高职称30人，占42.3%；副高职称28人，占39.4%；博士22人，占38%；硕士33人，占37%。 </w:t>
      </w:r>
    </w:p>
    <w:p>
      <w:pPr>
        <w:pStyle w:val="9"/>
        <w:adjustRightInd w:val="0"/>
        <w:snapToGrid w:val="0"/>
        <w:spacing w:before="0" w:after="0" w:line="360" w:lineRule="auto"/>
        <w:ind w:firstLine="442" w:firstLineChars="200"/>
        <w:outlineLvl w:val="1"/>
        <w:rPr>
          <w:rFonts w:hint="eastAsia" w:ascii="宋体" w:hAnsi="宋体" w:eastAsia="宋体" w:cs="宋体"/>
          <w:color w:val="000000"/>
          <w:kern w:val="0"/>
          <w:sz w:val="21"/>
          <w:szCs w:val="21"/>
          <w:lang w:val="en-US" w:eastAsia="zh-CN" w:bidi="ar"/>
        </w:rPr>
      </w:pPr>
      <w:bookmarkStart w:id="51" w:name="_Toc17981"/>
      <w:r>
        <w:rPr>
          <w:rFonts w:hint="eastAsia" w:ascii="楷体" w:hAnsi="楷体" w:eastAsia="楷体" w:cs="楷体"/>
          <w:b/>
          <w:color w:val="000000"/>
          <w:kern w:val="0"/>
          <w:sz w:val="22"/>
          <w:szCs w:val="22"/>
          <w:lang w:val="en-US" w:eastAsia="zh-CN" w:bidi="ar"/>
        </w:rPr>
        <w:t>5.临床教学基地师资培训与培养</w:t>
      </w:r>
      <w:bookmarkEnd w:id="51"/>
      <w:r>
        <w:rPr>
          <w:rFonts w:hint="eastAsia" w:ascii="宋体" w:hAnsi="宋体" w:eastAsia="宋体" w:cs="宋体"/>
          <w:color w:val="000000"/>
          <w:kern w:val="0"/>
          <w:sz w:val="21"/>
          <w:szCs w:val="21"/>
          <w:lang w:val="en-US" w:eastAsia="zh-CN" w:bidi="ar"/>
        </w:rPr>
        <w:t xml:space="preserve"> </w:t>
      </w:r>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学校通过试讲、集体备课、教学技能培训、优质课观摩、公开课示范、教学查房比赛、教学基本功比赛等形式，从临床教学方法、教学技能和操作技能等方面对临床教师进行培训。学校开放对附属医院的高校教师资格认定和教学职称评定，现已有215位临床教师获得高校教师资格，46人晋升副教授，37人晋升教授。</w:t>
      </w:r>
    </w:p>
    <w:p>
      <w:pPr>
        <w:pStyle w:val="9"/>
        <w:adjustRightInd w:val="0"/>
        <w:snapToGrid w:val="0"/>
        <w:spacing w:before="0" w:after="0" w:line="360" w:lineRule="auto"/>
        <w:ind w:firstLine="442" w:firstLineChars="200"/>
        <w:outlineLvl w:val="1"/>
        <w:rPr>
          <w:rFonts w:hint="eastAsia" w:ascii="宋体" w:hAnsi="宋体" w:eastAsia="宋体" w:cs="宋体"/>
          <w:color w:val="000000"/>
          <w:kern w:val="0"/>
          <w:sz w:val="21"/>
          <w:szCs w:val="21"/>
          <w:lang w:val="en-US" w:eastAsia="zh-CN" w:bidi="ar"/>
        </w:rPr>
      </w:pPr>
      <w:bookmarkStart w:id="52" w:name="_Toc19882"/>
      <w:r>
        <w:rPr>
          <w:rFonts w:hint="eastAsia" w:ascii="楷体" w:hAnsi="楷体" w:eastAsia="楷体" w:cs="楷体"/>
          <w:b/>
          <w:color w:val="000000"/>
          <w:kern w:val="0"/>
          <w:sz w:val="22"/>
          <w:szCs w:val="22"/>
          <w:lang w:val="en-US" w:eastAsia="zh-CN" w:bidi="ar"/>
        </w:rPr>
        <w:t>6.招生规模</w:t>
      </w:r>
      <w:bookmarkEnd w:id="52"/>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临床医学本科专业在全国10个省（市、自治区）招生。八年来，我校临床医学专业共计招生435人、转入70人，培养学生503人。</w:t>
      </w:r>
    </w:p>
    <w:p>
      <w:pPr>
        <w:pStyle w:val="9"/>
        <w:adjustRightInd w:val="0"/>
        <w:snapToGrid w:val="0"/>
        <w:spacing w:before="0" w:after="0" w:line="360" w:lineRule="auto"/>
        <w:ind w:firstLine="442" w:firstLineChars="200"/>
        <w:jc w:val="center"/>
        <w:rPr>
          <w:rFonts w:hint="eastAsia" w:ascii="楷体" w:hAnsi="楷体" w:eastAsia="楷体" w:cs="楷体"/>
          <w:b/>
          <w:color w:val="000000"/>
          <w:kern w:val="0"/>
          <w:sz w:val="22"/>
          <w:szCs w:val="22"/>
          <w:lang w:val="en-US" w:eastAsia="zh-CN" w:bidi="ar"/>
        </w:rPr>
      </w:pPr>
      <w:r>
        <w:rPr>
          <w:rFonts w:hint="eastAsia" w:ascii="楷体" w:hAnsi="楷体" w:eastAsia="楷体" w:cs="楷体"/>
          <w:b/>
          <w:color w:val="000000"/>
          <w:kern w:val="0"/>
          <w:sz w:val="22"/>
          <w:szCs w:val="22"/>
          <w:lang w:val="en-US" w:eastAsia="zh-CN" w:bidi="ar"/>
        </w:rPr>
        <w:t>表6-1</w:t>
      </w:r>
      <w:r>
        <w:rPr>
          <w:rFonts w:hint="eastAsia" w:ascii="楷体" w:hAnsi="楷体" w:eastAsia="楷体" w:cs="楷体"/>
          <w:b/>
          <w:color w:val="000000"/>
          <w:kern w:val="0"/>
          <w:sz w:val="22"/>
          <w:szCs w:val="22"/>
          <w:lang w:val="en-US" w:eastAsia="zh-CN" w:bidi="ar"/>
        </w:rPr>
        <w:tab/>
      </w:r>
      <w:r>
        <w:rPr>
          <w:rFonts w:hint="eastAsia" w:ascii="楷体" w:hAnsi="楷体" w:eastAsia="楷体" w:cs="楷体"/>
          <w:b/>
          <w:color w:val="000000"/>
          <w:kern w:val="0"/>
          <w:sz w:val="22"/>
          <w:szCs w:val="22"/>
          <w:lang w:val="en-US" w:eastAsia="zh-CN" w:bidi="ar"/>
        </w:rPr>
        <w:t>临床医学专业学生招生数一览表</w:t>
      </w:r>
    </w:p>
    <w:tbl>
      <w:tblPr>
        <w:tblStyle w:val="7"/>
        <w:tblW w:w="802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673"/>
        <w:gridCol w:w="763"/>
        <w:gridCol w:w="816"/>
        <w:gridCol w:w="776"/>
        <w:gridCol w:w="707"/>
        <w:gridCol w:w="793"/>
        <w:gridCol w:w="794"/>
        <w:gridCol w:w="792"/>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12" w:type="dxa"/>
            <w:vAlign w:val="center"/>
          </w:tcPr>
          <w:p>
            <w:pPr>
              <w:spacing w:line="240" w:lineRule="auto"/>
              <w:jc w:val="center"/>
              <w:rPr>
                <w:rFonts w:hint="eastAsia" w:ascii="仿宋" w:hAnsi="仿宋" w:eastAsia="仿宋" w:cs="仿宋"/>
                <w:b/>
                <w:bCs/>
                <w:sz w:val="21"/>
                <w:szCs w:val="21"/>
              </w:rPr>
            </w:pPr>
            <w:r>
              <w:rPr>
                <w:rFonts w:hint="eastAsia" w:ascii="仿宋" w:hAnsi="仿宋" w:eastAsia="仿宋" w:cs="仿宋"/>
                <w:b/>
                <w:bCs/>
                <w:sz w:val="21"/>
                <w:szCs w:val="21"/>
              </w:rPr>
              <w:t>年度</w:t>
            </w:r>
          </w:p>
        </w:tc>
        <w:tc>
          <w:tcPr>
            <w:tcW w:w="673" w:type="dxa"/>
            <w:vAlign w:val="center"/>
          </w:tcPr>
          <w:p>
            <w:pPr>
              <w:spacing w:line="240" w:lineRule="auto"/>
              <w:jc w:val="center"/>
              <w:rPr>
                <w:rFonts w:hint="eastAsia" w:ascii="仿宋" w:hAnsi="仿宋" w:eastAsia="仿宋" w:cs="仿宋"/>
                <w:b/>
                <w:bCs/>
                <w:sz w:val="21"/>
                <w:szCs w:val="21"/>
              </w:rPr>
            </w:pPr>
            <w:r>
              <w:rPr>
                <w:rFonts w:hint="eastAsia" w:ascii="仿宋" w:hAnsi="仿宋" w:eastAsia="仿宋" w:cs="仿宋"/>
                <w:b/>
                <w:bCs/>
                <w:sz w:val="21"/>
                <w:szCs w:val="21"/>
              </w:rPr>
              <w:t>2012</w:t>
            </w:r>
          </w:p>
        </w:tc>
        <w:tc>
          <w:tcPr>
            <w:tcW w:w="763" w:type="dxa"/>
            <w:vAlign w:val="center"/>
          </w:tcPr>
          <w:p>
            <w:pPr>
              <w:spacing w:line="240" w:lineRule="auto"/>
              <w:jc w:val="center"/>
              <w:rPr>
                <w:rFonts w:hint="eastAsia" w:ascii="仿宋" w:hAnsi="仿宋" w:eastAsia="仿宋" w:cs="仿宋"/>
                <w:b/>
                <w:bCs/>
                <w:sz w:val="21"/>
                <w:szCs w:val="21"/>
              </w:rPr>
            </w:pPr>
            <w:r>
              <w:rPr>
                <w:rFonts w:hint="eastAsia" w:ascii="仿宋" w:hAnsi="仿宋" w:eastAsia="仿宋" w:cs="仿宋"/>
                <w:b/>
                <w:bCs/>
                <w:sz w:val="21"/>
                <w:szCs w:val="21"/>
              </w:rPr>
              <w:t>2013</w:t>
            </w:r>
          </w:p>
        </w:tc>
        <w:tc>
          <w:tcPr>
            <w:tcW w:w="816" w:type="dxa"/>
            <w:vAlign w:val="center"/>
          </w:tcPr>
          <w:p>
            <w:pPr>
              <w:spacing w:line="240" w:lineRule="auto"/>
              <w:jc w:val="center"/>
              <w:rPr>
                <w:rFonts w:hint="eastAsia" w:ascii="仿宋" w:hAnsi="仿宋" w:eastAsia="仿宋" w:cs="仿宋"/>
                <w:b/>
                <w:bCs/>
                <w:sz w:val="21"/>
                <w:szCs w:val="21"/>
              </w:rPr>
            </w:pPr>
            <w:r>
              <w:rPr>
                <w:rFonts w:hint="eastAsia" w:ascii="仿宋" w:hAnsi="仿宋" w:eastAsia="仿宋" w:cs="仿宋"/>
                <w:b/>
                <w:bCs/>
                <w:sz w:val="21"/>
                <w:szCs w:val="21"/>
              </w:rPr>
              <w:t>2014</w:t>
            </w:r>
          </w:p>
        </w:tc>
        <w:tc>
          <w:tcPr>
            <w:tcW w:w="776" w:type="dxa"/>
            <w:vAlign w:val="center"/>
          </w:tcPr>
          <w:p>
            <w:pPr>
              <w:spacing w:line="240" w:lineRule="auto"/>
              <w:jc w:val="center"/>
              <w:rPr>
                <w:rFonts w:hint="eastAsia" w:ascii="仿宋" w:hAnsi="仿宋" w:eastAsia="仿宋" w:cs="仿宋"/>
                <w:b/>
                <w:bCs/>
                <w:sz w:val="21"/>
                <w:szCs w:val="21"/>
              </w:rPr>
            </w:pPr>
            <w:r>
              <w:rPr>
                <w:rFonts w:hint="eastAsia" w:ascii="仿宋" w:hAnsi="仿宋" w:eastAsia="仿宋" w:cs="仿宋"/>
                <w:b/>
                <w:bCs/>
                <w:sz w:val="21"/>
                <w:szCs w:val="21"/>
              </w:rPr>
              <w:t>2015</w:t>
            </w:r>
          </w:p>
        </w:tc>
        <w:tc>
          <w:tcPr>
            <w:tcW w:w="707" w:type="dxa"/>
            <w:vAlign w:val="center"/>
          </w:tcPr>
          <w:p>
            <w:pPr>
              <w:spacing w:line="240" w:lineRule="auto"/>
              <w:jc w:val="center"/>
              <w:rPr>
                <w:rFonts w:hint="eastAsia" w:ascii="仿宋" w:hAnsi="仿宋" w:eastAsia="仿宋" w:cs="仿宋"/>
                <w:b/>
                <w:bCs/>
                <w:sz w:val="21"/>
                <w:szCs w:val="21"/>
              </w:rPr>
            </w:pPr>
            <w:r>
              <w:rPr>
                <w:rFonts w:hint="eastAsia" w:ascii="仿宋" w:hAnsi="仿宋" w:eastAsia="仿宋" w:cs="仿宋"/>
                <w:b/>
                <w:bCs/>
                <w:sz w:val="21"/>
                <w:szCs w:val="21"/>
              </w:rPr>
              <w:t>2016</w:t>
            </w:r>
          </w:p>
        </w:tc>
        <w:tc>
          <w:tcPr>
            <w:tcW w:w="793" w:type="dxa"/>
            <w:vAlign w:val="center"/>
          </w:tcPr>
          <w:p>
            <w:pPr>
              <w:spacing w:line="240" w:lineRule="auto"/>
              <w:jc w:val="center"/>
              <w:rPr>
                <w:rFonts w:hint="eastAsia" w:ascii="仿宋" w:hAnsi="仿宋" w:eastAsia="仿宋" w:cs="仿宋"/>
                <w:b/>
                <w:bCs/>
                <w:sz w:val="21"/>
                <w:szCs w:val="21"/>
              </w:rPr>
            </w:pPr>
            <w:r>
              <w:rPr>
                <w:rFonts w:hint="eastAsia" w:ascii="仿宋" w:hAnsi="仿宋" w:eastAsia="仿宋" w:cs="仿宋"/>
                <w:b/>
                <w:bCs/>
                <w:sz w:val="21"/>
                <w:szCs w:val="21"/>
              </w:rPr>
              <w:t>2017</w:t>
            </w:r>
          </w:p>
        </w:tc>
        <w:tc>
          <w:tcPr>
            <w:tcW w:w="794" w:type="dxa"/>
            <w:vAlign w:val="center"/>
          </w:tcPr>
          <w:p>
            <w:pPr>
              <w:spacing w:line="240" w:lineRule="auto"/>
              <w:jc w:val="center"/>
              <w:rPr>
                <w:rFonts w:hint="eastAsia" w:ascii="仿宋" w:hAnsi="仿宋" w:eastAsia="仿宋" w:cs="仿宋"/>
                <w:b/>
                <w:bCs/>
                <w:sz w:val="21"/>
                <w:szCs w:val="21"/>
              </w:rPr>
            </w:pPr>
            <w:r>
              <w:rPr>
                <w:rFonts w:hint="eastAsia" w:ascii="仿宋" w:hAnsi="仿宋" w:eastAsia="仿宋" w:cs="仿宋"/>
                <w:b/>
                <w:bCs/>
                <w:sz w:val="21"/>
                <w:szCs w:val="21"/>
              </w:rPr>
              <w:t>2018</w:t>
            </w:r>
          </w:p>
        </w:tc>
        <w:tc>
          <w:tcPr>
            <w:tcW w:w="792" w:type="dxa"/>
            <w:vAlign w:val="center"/>
          </w:tcPr>
          <w:p>
            <w:pPr>
              <w:spacing w:line="240" w:lineRule="auto"/>
              <w:jc w:val="center"/>
              <w:rPr>
                <w:rFonts w:hint="eastAsia" w:ascii="仿宋" w:hAnsi="仿宋" w:eastAsia="仿宋" w:cs="仿宋"/>
                <w:b/>
                <w:bCs/>
                <w:sz w:val="21"/>
                <w:szCs w:val="21"/>
              </w:rPr>
            </w:pPr>
            <w:r>
              <w:rPr>
                <w:rFonts w:hint="eastAsia" w:ascii="仿宋" w:hAnsi="仿宋" w:eastAsia="仿宋" w:cs="仿宋"/>
                <w:b/>
                <w:bCs/>
                <w:sz w:val="21"/>
                <w:szCs w:val="21"/>
              </w:rPr>
              <w:t>2019</w:t>
            </w:r>
          </w:p>
        </w:tc>
        <w:tc>
          <w:tcPr>
            <w:tcW w:w="794" w:type="dxa"/>
            <w:vAlign w:val="center"/>
          </w:tcPr>
          <w:p>
            <w:pPr>
              <w:spacing w:line="240" w:lineRule="auto"/>
              <w:jc w:val="center"/>
              <w:rPr>
                <w:rFonts w:hint="eastAsia" w:ascii="仿宋" w:hAnsi="仿宋" w:eastAsia="仿宋" w:cs="仿宋"/>
                <w:b/>
                <w:bCs/>
                <w:sz w:val="21"/>
                <w:szCs w:val="21"/>
              </w:rPr>
            </w:pPr>
            <w:r>
              <w:rPr>
                <w:rFonts w:hint="eastAsia" w:ascii="仿宋" w:hAnsi="仿宋" w:eastAsia="仿宋" w:cs="仿宋"/>
                <w:b/>
                <w:bCs/>
                <w:sz w:val="21"/>
                <w:szCs w:val="21"/>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2" w:type="dxa"/>
            <w:vAlign w:val="center"/>
          </w:tcPr>
          <w:p>
            <w:pPr>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招生人数</w:t>
            </w:r>
          </w:p>
        </w:tc>
        <w:tc>
          <w:tcPr>
            <w:tcW w:w="673"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41</w:t>
            </w:r>
          </w:p>
        </w:tc>
        <w:tc>
          <w:tcPr>
            <w:tcW w:w="763"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31</w:t>
            </w:r>
          </w:p>
        </w:tc>
        <w:tc>
          <w:tcPr>
            <w:tcW w:w="816"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60</w:t>
            </w:r>
          </w:p>
        </w:tc>
        <w:tc>
          <w:tcPr>
            <w:tcW w:w="776"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60</w:t>
            </w:r>
          </w:p>
        </w:tc>
        <w:tc>
          <w:tcPr>
            <w:tcW w:w="707"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60</w:t>
            </w:r>
          </w:p>
        </w:tc>
        <w:tc>
          <w:tcPr>
            <w:tcW w:w="793"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70</w:t>
            </w:r>
          </w:p>
        </w:tc>
        <w:tc>
          <w:tcPr>
            <w:tcW w:w="794"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70</w:t>
            </w:r>
          </w:p>
        </w:tc>
        <w:tc>
          <w:tcPr>
            <w:tcW w:w="792"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60</w:t>
            </w:r>
          </w:p>
        </w:tc>
        <w:tc>
          <w:tcPr>
            <w:tcW w:w="794"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12" w:type="dxa"/>
            <w:vAlign w:val="center"/>
          </w:tcPr>
          <w:p>
            <w:pPr>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报到</w:t>
            </w:r>
          </w:p>
        </w:tc>
        <w:tc>
          <w:tcPr>
            <w:tcW w:w="673"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37</w:t>
            </w:r>
          </w:p>
        </w:tc>
        <w:tc>
          <w:tcPr>
            <w:tcW w:w="763"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28</w:t>
            </w:r>
          </w:p>
        </w:tc>
        <w:tc>
          <w:tcPr>
            <w:tcW w:w="816"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57</w:t>
            </w:r>
          </w:p>
        </w:tc>
        <w:tc>
          <w:tcPr>
            <w:tcW w:w="776"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57</w:t>
            </w:r>
          </w:p>
        </w:tc>
        <w:tc>
          <w:tcPr>
            <w:tcW w:w="707"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60</w:t>
            </w:r>
          </w:p>
        </w:tc>
        <w:tc>
          <w:tcPr>
            <w:tcW w:w="793"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69</w:t>
            </w:r>
          </w:p>
        </w:tc>
        <w:tc>
          <w:tcPr>
            <w:tcW w:w="794"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68</w:t>
            </w:r>
          </w:p>
        </w:tc>
        <w:tc>
          <w:tcPr>
            <w:tcW w:w="792"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59</w:t>
            </w:r>
          </w:p>
        </w:tc>
        <w:tc>
          <w:tcPr>
            <w:tcW w:w="794"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112" w:type="dxa"/>
            <w:vAlign w:val="center"/>
          </w:tcPr>
          <w:p>
            <w:pPr>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转入本专业人数</w:t>
            </w:r>
          </w:p>
        </w:tc>
        <w:tc>
          <w:tcPr>
            <w:tcW w:w="673"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763"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0</w:t>
            </w:r>
          </w:p>
        </w:tc>
        <w:tc>
          <w:tcPr>
            <w:tcW w:w="816"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11</w:t>
            </w:r>
          </w:p>
        </w:tc>
        <w:tc>
          <w:tcPr>
            <w:tcW w:w="776"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9</w:t>
            </w:r>
          </w:p>
        </w:tc>
        <w:tc>
          <w:tcPr>
            <w:tcW w:w="707"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11</w:t>
            </w:r>
          </w:p>
        </w:tc>
        <w:tc>
          <w:tcPr>
            <w:tcW w:w="793"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21</w:t>
            </w:r>
          </w:p>
        </w:tc>
        <w:tc>
          <w:tcPr>
            <w:tcW w:w="794"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18</w:t>
            </w:r>
          </w:p>
        </w:tc>
        <w:tc>
          <w:tcPr>
            <w:tcW w:w="792"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0</w:t>
            </w:r>
          </w:p>
        </w:tc>
        <w:tc>
          <w:tcPr>
            <w:tcW w:w="794" w:type="dxa"/>
            <w:vAlign w:val="center"/>
          </w:tcPr>
          <w:p>
            <w:pPr>
              <w:keepNext w:val="0"/>
              <w:keepLines w:val="0"/>
              <w:widowControl/>
              <w:suppressLineNumbers w:val="0"/>
              <w:spacing w:line="240" w:lineRule="auto"/>
              <w:jc w:val="center"/>
              <w:textAlignment w:val="bottom"/>
              <w:rPr>
                <w:rFonts w:hint="default" w:ascii="仿宋" w:hAnsi="仿宋" w:eastAsia="仿宋" w:cs="仿宋"/>
                <w:sz w:val="21"/>
                <w:szCs w:val="21"/>
                <w:lang w:val="en-US"/>
              </w:rPr>
            </w:pPr>
            <w:r>
              <w:rPr>
                <w:rFonts w:hint="eastAsia" w:ascii="仿宋" w:hAnsi="仿宋" w:eastAsia="仿宋" w:cs="仿宋"/>
                <w:i w:val="0"/>
                <w:color w:val="000000"/>
                <w:kern w:val="0"/>
                <w:sz w:val="21"/>
                <w:szCs w:val="21"/>
                <w:u w:val="none"/>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12" w:type="dxa"/>
            <w:vAlign w:val="center"/>
          </w:tcPr>
          <w:p>
            <w:pPr>
              <w:spacing w:line="240" w:lineRule="auto"/>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合计</w:t>
            </w:r>
          </w:p>
        </w:tc>
        <w:tc>
          <w:tcPr>
            <w:tcW w:w="673" w:type="dxa"/>
            <w:vAlign w:val="center"/>
          </w:tcPr>
          <w:p>
            <w:pPr>
              <w:keepNext w:val="0"/>
              <w:keepLines w:val="0"/>
              <w:widowControl/>
              <w:suppressLineNumbers w:val="0"/>
              <w:spacing w:line="240" w:lineRule="auto"/>
              <w:jc w:val="center"/>
              <w:textAlignment w:val="bottom"/>
              <w:rPr>
                <w:rFonts w:hint="default"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36</w:t>
            </w:r>
          </w:p>
        </w:tc>
        <w:tc>
          <w:tcPr>
            <w:tcW w:w="763" w:type="dxa"/>
            <w:vAlign w:val="center"/>
          </w:tcPr>
          <w:p>
            <w:pPr>
              <w:keepNext w:val="0"/>
              <w:keepLines w:val="0"/>
              <w:widowControl/>
              <w:suppressLineNumbers w:val="0"/>
              <w:spacing w:line="240" w:lineRule="auto"/>
              <w:jc w:val="center"/>
              <w:textAlignment w:val="bottom"/>
              <w:rPr>
                <w:rFonts w:hint="default"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27</w:t>
            </w:r>
          </w:p>
        </w:tc>
        <w:tc>
          <w:tcPr>
            <w:tcW w:w="816" w:type="dxa"/>
            <w:vAlign w:val="center"/>
          </w:tcPr>
          <w:p>
            <w:pPr>
              <w:keepNext w:val="0"/>
              <w:keepLines w:val="0"/>
              <w:widowControl/>
              <w:suppressLineNumbers w:val="0"/>
              <w:spacing w:line="240" w:lineRule="auto"/>
              <w:jc w:val="center"/>
              <w:textAlignment w:val="bottom"/>
              <w:rPr>
                <w:rFonts w:hint="default"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68</w:t>
            </w:r>
          </w:p>
        </w:tc>
        <w:tc>
          <w:tcPr>
            <w:tcW w:w="776" w:type="dxa"/>
            <w:vAlign w:val="center"/>
          </w:tcPr>
          <w:p>
            <w:pPr>
              <w:keepNext w:val="0"/>
              <w:keepLines w:val="0"/>
              <w:widowControl/>
              <w:suppressLineNumbers w:val="0"/>
              <w:spacing w:line="240" w:lineRule="auto"/>
              <w:jc w:val="center"/>
              <w:textAlignment w:val="bottom"/>
              <w:rPr>
                <w:rFonts w:hint="default"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66</w:t>
            </w:r>
          </w:p>
        </w:tc>
        <w:tc>
          <w:tcPr>
            <w:tcW w:w="707" w:type="dxa"/>
            <w:vAlign w:val="center"/>
          </w:tcPr>
          <w:p>
            <w:pPr>
              <w:keepNext w:val="0"/>
              <w:keepLines w:val="0"/>
              <w:widowControl/>
              <w:suppressLineNumbers w:val="0"/>
              <w:spacing w:line="240" w:lineRule="auto"/>
              <w:jc w:val="center"/>
              <w:textAlignment w:val="bottom"/>
              <w:rPr>
                <w:rFonts w:hint="default"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71</w:t>
            </w:r>
          </w:p>
        </w:tc>
        <w:tc>
          <w:tcPr>
            <w:tcW w:w="793" w:type="dxa"/>
            <w:vAlign w:val="center"/>
          </w:tcPr>
          <w:p>
            <w:pPr>
              <w:keepNext w:val="0"/>
              <w:keepLines w:val="0"/>
              <w:widowControl/>
              <w:suppressLineNumbers w:val="0"/>
              <w:spacing w:line="240" w:lineRule="auto"/>
              <w:jc w:val="center"/>
              <w:textAlignment w:val="bottom"/>
              <w:rPr>
                <w:rFonts w:hint="default"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90</w:t>
            </w:r>
          </w:p>
        </w:tc>
        <w:tc>
          <w:tcPr>
            <w:tcW w:w="794" w:type="dxa"/>
            <w:vAlign w:val="center"/>
          </w:tcPr>
          <w:p>
            <w:pPr>
              <w:keepNext w:val="0"/>
              <w:keepLines w:val="0"/>
              <w:widowControl/>
              <w:suppressLineNumbers w:val="0"/>
              <w:spacing w:line="240" w:lineRule="auto"/>
              <w:jc w:val="center"/>
              <w:textAlignment w:val="bottom"/>
              <w:rPr>
                <w:rFonts w:hint="default"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86</w:t>
            </w:r>
          </w:p>
        </w:tc>
        <w:tc>
          <w:tcPr>
            <w:tcW w:w="792" w:type="dxa"/>
            <w:vAlign w:val="center"/>
          </w:tcPr>
          <w:p>
            <w:pPr>
              <w:keepNext w:val="0"/>
              <w:keepLines w:val="0"/>
              <w:widowControl/>
              <w:suppressLineNumbers w:val="0"/>
              <w:spacing w:line="240" w:lineRule="auto"/>
              <w:jc w:val="center"/>
              <w:textAlignment w:val="bottom"/>
              <w:rPr>
                <w:rFonts w:hint="default" w:ascii="仿宋" w:hAnsi="仿宋" w:eastAsia="仿宋" w:cs="仿宋"/>
                <w:sz w:val="21"/>
                <w:szCs w:val="21"/>
                <w:lang w:val="en-US" w:eastAsia="zh-CN"/>
              </w:rPr>
            </w:pPr>
            <w:r>
              <w:rPr>
                <w:rFonts w:hint="eastAsia" w:ascii="仿宋" w:hAnsi="仿宋" w:eastAsia="仿宋" w:cs="仿宋"/>
                <w:i w:val="0"/>
                <w:color w:val="000000"/>
                <w:kern w:val="0"/>
                <w:sz w:val="21"/>
                <w:szCs w:val="21"/>
                <w:u w:val="none"/>
                <w:lang w:val="en-US" w:eastAsia="zh-CN" w:bidi="ar"/>
              </w:rPr>
              <w:t>59</w:t>
            </w:r>
          </w:p>
        </w:tc>
        <w:tc>
          <w:tcPr>
            <w:tcW w:w="794" w:type="dxa"/>
            <w:vAlign w:val="center"/>
          </w:tcPr>
          <w:p>
            <w:pPr>
              <w:keepNext w:val="0"/>
              <w:keepLines w:val="0"/>
              <w:widowControl/>
              <w:suppressLineNumbers w:val="0"/>
              <w:spacing w:line="240" w:lineRule="auto"/>
              <w:jc w:val="center"/>
              <w:textAlignment w:val="bottom"/>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503</w:t>
            </w:r>
          </w:p>
        </w:tc>
      </w:tr>
    </w:tbl>
    <w:p>
      <w:pPr>
        <w:pStyle w:val="9"/>
        <w:adjustRightInd w:val="0"/>
        <w:snapToGrid w:val="0"/>
        <w:spacing w:before="0" w:after="0" w:line="240" w:lineRule="auto"/>
        <w:ind w:firstLine="420" w:firstLineChars="200"/>
        <w:rPr>
          <w:rFonts w:hint="eastAsia" w:ascii="宋体" w:hAnsi="宋体" w:eastAsia="宋体" w:cs="宋体"/>
          <w:color w:val="000000"/>
          <w:kern w:val="0"/>
          <w:sz w:val="21"/>
          <w:szCs w:val="21"/>
          <w:lang w:val="en-US" w:eastAsia="zh-CN" w:bidi="ar"/>
        </w:rPr>
      </w:pPr>
    </w:p>
    <w:p>
      <w:pPr>
        <w:pStyle w:val="9"/>
        <w:adjustRightInd w:val="0"/>
        <w:snapToGrid w:val="0"/>
        <w:spacing w:before="0" w:after="0" w:line="240" w:lineRule="auto"/>
        <w:ind w:firstLine="442" w:firstLineChars="200"/>
        <w:outlineLvl w:val="1"/>
        <w:rPr>
          <w:rFonts w:hint="eastAsia" w:ascii="楷体" w:hAnsi="楷体" w:eastAsia="楷体" w:cs="楷体"/>
          <w:b/>
          <w:color w:val="000000"/>
          <w:kern w:val="0"/>
          <w:sz w:val="22"/>
          <w:szCs w:val="22"/>
          <w:lang w:val="en-US" w:eastAsia="zh-CN" w:bidi="ar"/>
        </w:rPr>
      </w:pPr>
      <w:bookmarkStart w:id="53" w:name="_Toc16323"/>
      <w:r>
        <w:rPr>
          <w:rFonts w:hint="eastAsia" w:ascii="楷体" w:hAnsi="楷体" w:eastAsia="楷体" w:cs="楷体"/>
          <w:b/>
          <w:color w:val="000000"/>
          <w:kern w:val="0"/>
          <w:sz w:val="22"/>
          <w:szCs w:val="22"/>
          <w:lang w:val="en-US" w:eastAsia="zh-CN" w:bidi="ar"/>
        </w:rPr>
        <w:t>7.生源质量</w:t>
      </w:r>
      <w:bookmarkEnd w:id="53"/>
    </w:p>
    <w:p>
      <w:pPr>
        <w:pStyle w:val="9"/>
        <w:adjustRightInd w:val="0"/>
        <w:snapToGrid w:val="0"/>
        <w:spacing w:before="0" w:after="0" w:line="240" w:lineRule="auto"/>
        <w:ind w:firstLine="442" w:firstLineChars="200"/>
        <w:jc w:val="center"/>
        <w:rPr>
          <w:rFonts w:hint="eastAsia" w:ascii="楷体" w:hAnsi="楷体" w:eastAsia="楷体" w:cs="楷体"/>
          <w:b/>
          <w:color w:val="000000"/>
          <w:kern w:val="0"/>
          <w:sz w:val="22"/>
          <w:szCs w:val="22"/>
          <w:lang w:val="en-US" w:eastAsia="zh-CN" w:bidi="ar"/>
        </w:rPr>
      </w:pPr>
      <w:r>
        <w:rPr>
          <w:rFonts w:hint="eastAsia" w:ascii="楷体" w:hAnsi="楷体" w:eastAsia="楷体" w:cs="楷体"/>
          <w:b/>
          <w:color w:val="000000"/>
          <w:kern w:val="0"/>
          <w:sz w:val="22"/>
          <w:szCs w:val="22"/>
          <w:lang w:val="en-US" w:eastAsia="zh-CN" w:bidi="ar"/>
        </w:rPr>
        <w:t>表7-1 临床医学专业（五年制）录取分数及一志愿填报情况表</w:t>
      </w:r>
    </w:p>
    <w:tbl>
      <w:tblPr>
        <w:tblStyle w:val="7"/>
        <w:tblW w:w="804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620"/>
        <w:gridCol w:w="825"/>
        <w:gridCol w:w="1065"/>
        <w:gridCol w:w="1320"/>
        <w:gridCol w:w="100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936"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bCs/>
                <w:sz w:val="21"/>
                <w:szCs w:val="21"/>
              </w:rPr>
              <w:t>年度</w:t>
            </w:r>
          </w:p>
        </w:tc>
        <w:tc>
          <w:tcPr>
            <w:tcW w:w="1620"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bCs/>
                <w:sz w:val="21"/>
                <w:szCs w:val="21"/>
              </w:rPr>
              <w:t>省一段（理科一本）分数线</w:t>
            </w:r>
          </w:p>
        </w:tc>
        <w:tc>
          <w:tcPr>
            <w:tcW w:w="825"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bCs/>
                <w:sz w:val="21"/>
                <w:szCs w:val="21"/>
              </w:rPr>
              <w:t>最高</w:t>
            </w:r>
          </w:p>
        </w:tc>
        <w:tc>
          <w:tcPr>
            <w:tcW w:w="1065"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bCs/>
                <w:sz w:val="21"/>
                <w:szCs w:val="21"/>
              </w:rPr>
              <w:t>最低</w:t>
            </w:r>
          </w:p>
        </w:tc>
        <w:tc>
          <w:tcPr>
            <w:tcW w:w="1320"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bCs/>
                <w:sz w:val="21"/>
                <w:szCs w:val="21"/>
              </w:rPr>
              <w:t>平均</w:t>
            </w:r>
          </w:p>
        </w:tc>
        <w:tc>
          <w:tcPr>
            <w:tcW w:w="1005"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bCs/>
                <w:sz w:val="21"/>
                <w:szCs w:val="21"/>
                <w:lang w:eastAsia="zh-CN"/>
              </w:rPr>
              <w:t>高出一本分数</w:t>
            </w:r>
          </w:p>
        </w:tc>
        <w:tc>
          <w:tcPr>
            <w:tcW w:w="1275"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bCs/>
                <w:sz w:val="21"/>
                <w:szCs w:val="21"/>
              </w:rPr>
              <w:t>一志愿填报率%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936"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2012</w:t>
            </w:r>
          </w:p>
        </w:tc>
        <w:tc>
          <w:tcPr>
            <w:tcW w:w="1620"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518</w:t>
            </w:r>
          </w:p>
        </w:tc>
        <w:tc>
          <w:tcPr>
            <w:tcW w:w="825"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490</w:t>
            </w:r>
          </w:p>
        </w:tc>
        <w:tc>
          <w:tcPr>
            <w:tcW w:w="1065"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481</w:t>
            </w:r>
          </w:p>
        </w:tc>
        <w:tc>
          <w:tcPr>
            <w:tcW w:w="1320"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486.37</w:t>
            </w:r>
          </w:p>
        </w:tc>
        <w:tc>
          <w:tcPr>
            <w:tcW w:w="1005" w:type="dxa"/>
            <w:vAlign w:val="bottom"/>
          </w:tcPr>
          <w:p>
            <w:pPr>
              <w:keepNext w:val="0"/>
              <w:keepLines w:val="0"/>
              <w:widowControl/>
              <w:suppressLineNumbers w:val="0"/>
              <w:spacing w:line="240" w:lineRule="auto"/>
              <w:jc w:val="center"/>
              <w:textAlignment w:val="bottom"/>
              <w:rPr>
                <w:rFonts w:hint="eastAsia" w:ascii="宋体" w:hAnsi="宋体" w:eastAsia="宋体" w:cs="宋体"/>
                <w:color w:val="000000"/>
                <w:kern w:val="0"/>
                <w:sz w:val="21"/>
                <w:szCs w:val="21"/>
                <w:lang w:val="en-US" w:eastAsia="zh-CN" w:bidi="ar"/>
              </w:rPr>
            </w:pPr>
          </w:p>
        </w:tc>
        <w:tc>
          <w:tcPr>
            <w:tcW w:w="1275"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 xml:space="preserve"> 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936"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2013</w:t>
            </w:r>
          </w:p>
        </w:tc>
        <w:tc>
          <w:tcPr>
            <w:tcW w:w="1620"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562</w:t>
            </w:r>
          </w:p>
        </w:tc>
        <w:tc>
          <w:tcPr>
            <w:tcW w:w="825"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590</w:t>
            </w:r>
          </w:p>
        </w:tc>
        <w:tc>
          <w:tcPr>
            <w:tcW w:w="1065"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514</w:t>
            </w:r>
          </w:p>
        </w:tc>
        <w:tc>
          <w:tcPr>
            <w:tcW w:w="1320"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534.59</w:t>
            </w:r>
          </w:p>
        </w:tc>
        <w:tc>
          <w:tcPr>
            <w:tcW w:w="1005" w:type="dxa"/>
            <w:vAlign w:val="bottom"/>
          </w:tcPr>
          <w:p>
            <w:pPr>
              <w:keepNext w:val="0"/>
              <w:keepLines w:val="0"/>
              <w:widowControl/>
              <w:suppressLineNumbers w:val="0"/>
              <w:spacing w:line="240" w:lineRule="auto"/>
              <w:jc w:val="center"/>
              <w:textAlignment w:val="bottom"/>
              <w:rPr>
                <w:rFonts w:hint="eastAsia" w:ascii="宋体" w:hAnsi="宋体" w:eastAsia="宋体" w:cs="宋体"/>
                <w:color w:val="000000"/>
                <w:kern w:val="0"/>
                <w:sz w:val="21"/>
                <w:szCs w:val="21"/>
                <w:lang w:val="en-US" w:eastAsia="zh-CN" w:bidi="ar"/>
              </w:rPr>
            </w:pPr>
          </w:p>
        </w:tc>
        <w:tc>
          <w:tcPr>
            <w:tcW w:w="1275"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 xml:space="preserve">253.85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936"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2014</w:t>
            </w:r>
          </w:p>
        </w:tc>
        <w:tc>
          <w:tcPr>
            <w:tcW w:w="1620"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540</w:t>
            </w:r>
          </w:p>
        </w:tc>
        <w:tc>
          <w:tcPr>
            <w:tcW w:w="825"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524</w:t>
            </w:r>
          </w:p>
        </w:tc>
        <w:tc>
          <w:tcPr>
            <w:tcW w:w="1065"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510</w:t>
            </w:r>
          </w:p>
        </w:tc>
        <w:tc>
          <w:tcPr>
            <w:tcW w:w="1320"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512.7</w:t>
            </w:r>
          </w:p>
        </w:tc>
        <w:tc>
          <w:tcPr>
            <w:tcW w:w="1005" w:type="dxa"/>
            <w:vAlign w:val="bottom"/>
          </w:tcPr>
          <w:p>
            <w:pPr>
              <w:keepNext w:val="0"/>
              <w:keepLines w:val="0"/>
              <w:widowControl/>
              <w:suppressLineNumbers w:val="0"/>
              <w:spacing w:line="240" w:lineRule="auto"/>
              <w:jc w:val="center"/>
              <w:textAlignment w:val="bottom"/>
              <w:rPr>
                <w:rFonts w:hint="eastAsia" w:ascii="宋体" w:hAnsi="宋体" w:eastAsia="宋体" w:cs="宋体"/>
                <w:color w:val="000000"/>
                <w:kern w:val="0"/>
                <w:sz w:val="21"/>
                <w:szCs w:val="21"/>
                <w:lang w:val="en-US" w:eastAsia="zh-CN" w:bidi="ar"/>
              </w:rPr>
            </w:pPr>
          </w:p>
        </w:tc>
        <w:tc>
          <w:tcPr>
            <w:tcW w:w="1275" w:type="dxa"/>
            <w:vAlign w:val="top"/>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187.72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6"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2015</w:t>
            </w:r>
          </w:p>
        </w:tc>
        <w:tc>
          <w:tcPr>
            <w:tcW w:w="1620"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528</w:t>
            </w:r>
          </w:p>
        </w:tc>
        <w:tc>
          <w:tcPr>
            <w:tcW w:w="825"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547</w:t>
            </w:r>
          </w:p>
        </w:tc>
        <w:tc>
          <w:tcPr>
            <w:tcW w:w="1065"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511</w:t>
            </w:r>
          </w:p>
        </w:tc>
        <w:tc>
          <w:tcPr>
            <w:tcW w:w="1320"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516.65</w:t>
            </w:r>
          </w:p>
        </w:tc>
        <w:tc>
          <w:tcPr>
            <w:tcW w:w="1005" w:type="dxa"/>
            <w:vAlign w:val="bottom"/>
          </w:tcPr>
          <w:p>
            <w:pPr>
              <w:keepNext w:val="0"/>
              <w:keepLines w:val="0"/>
              <w:widowControl/>
              <w:suppressLineNumbers w:val="0"/>
              <w:spacing w:line="240" w:lineRule="auto"/>
              <w:jc w:val="center"/>
              <w:textAlignment w:val="bottom"/>
              <w:rPr>
                <w:rFonts w:hint="eastAsia" w:ascii="宋体" w:hAnsi="宋体" w:eastAsia="宋体" w:cs="宋体"/>
                <w:color w:val="000000"/>
                <w:kern w:val="0"/>
                <w:sz w:val="21"/>
                <w:szCs w:val="21"/>
                <w:lang w:val="en-US" w:eastAsia="zh-CN" w:bidi="ar"/>
              </w:rPr>
            </w:pPr>
          </w:p>
        </w:tc>
        <w:tc>
          <w:tcPr>
            <w:tcW w:w="1275" w:type="dxa"/>
            <w:vAlign w:val="top"/>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285.42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936"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2016</w:t>
            </w:r>
          </w:p>
        </w:tc>
        <w:tc>
          <w:tcPr>
            <w:tcW w:w="1620"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532</w:t>
            </w:r>
          </w:p>
        </w:tc>
        <w:tc>
          <w:tcPr>
            <w:tcW w:w="825"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544</w:t>
            </w:r>
          </w:p>
        </w:tc>
        <w:tc>
          <w:tcPr>
            <w:tcW w:w="1065"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527</w:t>
            </w:r>
          </w:p>
        </w:tc>
        <w:tc>
          <w:tcPr>
            <w:tcW w:w="1320"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531.93</w:t>
            </w:r>
          </w:p>
        </w:tc>
        <w:tc>
          <w:tcPr>
            <w:tcW w:w="1005" w:type="dxa"/>
            <w:vAlign w:val="bottom"/>
          </w:tcPr>
          <w:p>
            <w:pPr>
              <w:keepNext w:val="0"/>
              <w:keepLines w:val="0"/>
              <w:widowControl/>
              <w:suppressLineNumbers w:val="0"/>
              <w:spacing w:line="240" w:lineRule="auto"/>
              <w:jc w:val="center"/>
              <w:textAlignment w:val="bottom"/>
              <w:rPr>
                <w:rFonts w:hint="eastAsia" w:ascii="宋体" w:hAnsi="宋体" w:eastAsia="宋体" w:cs="宋体"/>
                <w:color w:val="000000"/>
                <w:kern w:val="0"/>
                <w:sz w:val="21"/>
                <w:szCs w:val="21"/>
                <w:lang w:val="en-US" w:eastAsia="zh-CN" w:bidi="ar"/>
              </w:rPr>
            </w:pPr>
          </w:p>
        </w:tc>
        <w:tc>
          <w:tcPr>
            <w:tcW w:w="1275" w:type="dxa"/>
            <w:vAlign w:val="top"/>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306.25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936"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2017</w:t>
            </w:r>
          </w:p>
        </w:tc>
        <w:tc>
          <w:tcPr>
            <w:tcW w:w="1620"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511</w:t>
            </w:r>
          </w:p>
        </w:tc>
        <w:tc>
          <w:tcPr>
            <w:tcW w:w="825"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541</w:t>
            </w:r>
          </w:p>
        </w:tc>
        <w:tc>
          <w:tcPr>
            <w:tcW w:w="1065"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514</w:t>
            </w:r>
          </w:p>
        </w:tc>
        <w:tc>
          <w:tcPr>
            <w:tcW w:w="1320"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521.38</w:t>
            </w:r>
          </w:p>
        </w:tc>
        <w:tc>
          <w:tcPr>
            <w:tcW w:w="1005" w:type="dxa"/>
            <w:vAlign w:val="bottom"/>
          </w:tcPr>
          <w:p>
            <w:pPr>
              <w:keepNext w:val="0"/>
              <w:keepLines w:val="0"/>
              <w:widowControl/>
              <w:suppressLineNumbers w:val="0"/>
              <w:spacing w:line="240" w:lineRule="auto"/>
              <w:jc w:val="center"/>
              <w:textAlignment w:val="bottom"/>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i w:val="0"/>
                <w:color w:val="000000"/>
                <w:kern w:val="0"/>
                <w:sz w:val="21"/>
                <w:szCs w:val="21"/>
                <w:u w:val="none"/>
                <w:lang w:val="en-US" w:eastAsia="zh-CN" w:bidi="ar"/>
              </w:rPr>
              <w:t>10.38</w:t>
            </w:r>
          </w:p>
        </w:tc>
        <w:tc>
          <w:tcPr>
            <w:tcW w:w="1275" w:type="dxa"/>
            <w:vAlign w:val="top"/>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255.17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936"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2018</w:t>
            </w:r>
          </w:p>
        </w:tc>
        <w:tc>
          <w:tcPr>
            <w:tcW w:w="1620"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511</w:t>
            </w:r>
          </w:p>
        </w:tc>
        <w:tc>
          <w:tcPr>
            <w:tcW w:w="825"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577</w:t>
            </w:r>
          </w:p>
        </w:tc>
        <w:tc>
          <w:tcPr>
            <w:tcW w:w="1065"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560</w:t>
            </w:r>
          </w:p>
        </w:tc>
        <w:tc>
          <w:tcPr>
            <w:tcW w:w="1320"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564.38</w:t>
            </w:r>
          </w:p>
        </w:tc>
        <w:tc>
          <w:tcPr>
            <w:tcW w:w="1005" w:type="dxa"/>
            <w:vAlign w:val="bottom"/>
          </w:tcPr>
          <w:p>
            <w:pPr>
              <w:keepNext w:val="0"/>
              <w:keepLines w:val="0"/>
              <w:widowControl/>
              <w:suppressLineNumbers w:val="0"/>
              <w:spacing w:line="240" w:lineRule="auto"/>
              <w:jc w:val="center"/>
              <w:textAlignment w:val="bottom"/>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i w:val="0"/>
                <w:color w:val="000000"/>
                <w:kern w:val="0"/>
                <w:sz w:val="21"/>
                <w:szCs w:val="21"/>
                <w:u w:val="none"/>
                <w:lang w:val="en-US" w:eastAsia="zh-CN" w:bidi="ar"/>
              </w:rPr>
              <w:t>53.38</w:t>
            </w:r>
          </w:p>
        </w:tc>
        <w:tc>
          <w:tcPr>
            <w:tcW w:w="1275" w:type="dxa"/>
            <w:vAlign w:val="top"/>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936"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2019</w:t>
            </w:r>
          </w:p>
        </w:tc>
        <w:tc>
          <w:tcPr>
            <w:tcW w:w="1620"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547</w:t>
            </w:r>
          </w:p>
        </w:tc>
        <w:tc>
          <w:tcPr>
            <w:tcW w:w="825"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577</w:t>
            </w:r>
          </w:p>
        </w:tc>
        <w:tc>
          <w:tcPr>
            <w:tcW w:w="1065"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569</w:t>
            </w:r>
          </w:p>
        </w:tc>
        <w:tc>
          <w:tcPr>
            <w:tcW w:w="1320" w:type="dxa"/>
            <w:vAlign w:val="center"/>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571.78</w:t>
            </w:r>
          </w:p>
        </w:tc>
        <w:tc>
          <w:tcPr>
            <w:tcW w:w="1005" w:type="dxa"/>
            <w:vAlign w:val="bottom"/>
          </w:tcPr>
          <w:p>
            <w:pPr>
              <w:keepNext w:val="0"/>
              <w:keepLines w:val="0"/>
              <w:widowControl/>
              <w:suppressLineNumbers w:val="0"/>
              <w:spacing w:line="240" w:lineRule="auto"/>
              <w:jc w:val="center"/>
              <w:textAlignment w:val="bottom"/>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i w:val="0"/>
                <w:color w:val="000000"/>
                <w:kern w:val="0"/>
                <w:sz w:val="21"/>
                <w:szCs w:val="21"/>
                <w:u w:val="none"/>
                <w:lang w:val="en-US" w:eastAsia="zh-CN" w:bidi="ar"/>
              </w:rPr>
              <w:t>24.78</w:t>
            </w:r>
          </w:p>
        </w:tc>
        <w:tc>
          <w:tcPr>
            <w:tcW w:w="1275" w:type="dxa"/>
            <w:vAlign w:val="top"/>
          </w:tcPr>
          <w:p>
            <w:pPr>
              <w:spacing w:line="240" w:lineRule="auto"/>
              <w:jc w:val="center"/>
              <w:rPr>
                <w:rFonts w:hint="eastAsia" w:ascii="宋体" w:hAnsi="宋体" w:eastAsia="宋体" w:cs="宋体"/>
                <w:color w:val="000000"/>
                <w:kern w:val="0"/>
                <w:sz w:val="21"/>
                <w:szCs w:val="21"/>
                <w:lang w:val="en-US" w:eastAsia="zh-CN" w:bidi="ar"/>
              </w:rPr>
            </w:pPr>
            <w:r>
              <w:rPr>
                <w:rFonts w:hint="eastAsia" w:ascii="仿宋" w:hAnsi="仿宋" w:eastAsia="仿宋" w:cs="仿宋"/>
                <w:b w:val="0"/>
                <w:bCs w:val="0"/>
                <w:sz w:val="21"/>
                <w:szCs w:val="21"/>
              </w:rPr>
              <w:t>534</w:t>
            </w:r>
          </w:p>
        </w:tc>
      </w:tr>
    </w:tbl>
    <w:p>
      <w:pPr>
        <w:pStyle w:val="9"/>
        <w:adjustRightInd w:val="0"/>
        <w:snapToGrid w:val="0"/>
        <w:spacing w:before="0" w:after="0" w:line="240" w:lineRule="auto"/>
        <w:ind w:firstLine="420" w:firstLineChars="200"/>
        <w:rPr>
          <w:rFonts w:hint="eastAsia" w:ascii="宋体" w:hAnsi="宋体" w:eastAsia="宋体" w:cs="宋体"/>
          <w:color w:val="000000"/>
          <w:kern w:val="0"/>
          <w:sz w:val="21"/>
          <w:szCs w:val="21"/>
          <w:lang w:val="en-US" w:eastAsia="zh-CN" w:bidi="ar"/>
        </w:rPr>
      </w:pPr>
    </w:p>
    <w:p>
      <w:pPr>
        <w:pStyle w:val="9"/>
        <w:numPr>
          <w:ilvl w:val="0"/>
          <w:numId w:val="5"/>
        </w:numPr>
        <w:adjustRightInd w:val="0"/>
        <w:snapToGrid w:val="0"/>
        <w:spacing w:before="0" w:after="0" w:line="240" w:lineRule="auto"/>
        <w:ind w:firstLine="442" w:firstLineChars="200"/>
        <w:outlineLvl w:val="1"/>
        <w:rPr>
          <w:rFonts w:hint="eastAsia" w:ascii="楷体" w:hAnsi="楷体" w:eastAsia="楷体" w:cs="楷体"/>
          <w:b/>
          <w:color w:val="000000"/>
          <w:kern w:val="0"/>
          <w:sz w:val="22"/>
          <w:szCs w:val="22"/>
          <w:lang w:val="en-US" w:eastAsia="zh-CN" w:bidi="ar"/>
        </w:rPr>
      </w:pPr>
      <w:bookmarkStart w:id="54" w:name="_Toc3848"/>
      <w:r>
        <w:rPr>
          <w:rFonts w:hint="eastAsia" w:ascii="楷体" w:hAnsi="楷体" w:eastAsia="楷体" w:cs="楷体"/>
          <w:b/>
          <w:color w:val="000000"/>
          <w:kern w:val="0"/>
          <w:sz w:val="22"/>
          <w:szCs w:val="22"/>
          <w:lang w:val="en-US" w:eastAsia="zh-CN" w:bidi="ar"/>
        </w:rPr>
        <w:t>就业与升学情况</w:t>
      </w:r>
      <w:bookmarkEnd w:id="54"/>
    </w:p>
    <w:p>
      <w:pPr>
        <w:pStyle w:val="9"/>
        <w:numPr>
          <w:ilvl w:val="0"/>
          <w:numId w:val="0"/>
        </w:numPr>
        <w:adjustRightInd w:val="0"/>
        <w:snapToGrid w:val="0"/>
        <w:spacing w:before="0" w:after="0" w:line="240" w:lineRule="auto"/>
        <w:jc w:val="center"/>
        <w:outlineLvl w:val="1"/>
        <w:rPr>
          <w:rFonts w:hint="eastAsia" w:ascii="楷体" w:hAnsi="楷体" w:eastAsia="楷体" w:cs="楷体"/>
          <w:b/>
          <w:color w:val="000000"/>
          <w:kern w:val="0"/>
          <w:sz w:val="22"/>
          <w:szCs w:val="22"/>
          <w:lang w:val="en-US" w:eastAsia="zh-CN" w:bidi="ar"/>
        </w:rPr>
      </w:pPr>
      <w:bookmarkStart w:id="55" w:name="_Toc13434"/>
      <w:r>
        <w:rPr>
          <w:rFonts w:hint="eastAsia" w:ascii="楷体" w:hAnsi="楷体" w:eastAsia="楷体" w:cs="楷体"/>
          <w:b/>
          <w:color w:val="000000"/>
          <w:kern w:val="0"/>
          <w:sz w:val="22"/>
          <w:szCs w:val="22"/>
          <w:lang w:val="zh-CN" w:eastAsia="zh-CN" w:bidi="ar"/>
        </w:rPr>
        <w:t>表</w:t>
      </w:r>
      <w:r>
        <w:rPr>
          <w:rFonts w:hint="eastAsia" w:ascii="楷体" w:hAnsi="楷体" w:eastAsia="楷体" w:cs="楷体"/>
          <w:b/>
          <w:color w:val="000000"/>
          <w:kern w:val="0"/>
          <w:sz w:val="22"/>
          <w:szCs w:val="22"/>
          <w:lang w:val="en-US" w:eastAsia="zh-CN" w:bidi="ar"/>
        </w:rPr>
        <w:t xml:space="preserve">8-1 </w:t>
      </w:r>
      <w:r>
        <w:rPr>
          <w:rFonts w:hint="default" w:ascii="楷体" w:hAnsi="楷体" w:eastAsia="楷体" w:cs="楷体"/>
          <w:b/>
          <w:color w:val="000000"/>
          <w:kern w:val="0"/>
          <w:sz w:val="22"/>
          <w:szCs w:val="22"/>
          <w:lang w:val="zh-CN" w:eastAsia="zh-CN" w:bidi="ar"/>
        </w:rPr>
        <w:t>近三年临床医学专业</w:t>
      </w:r>
      <w:r>
        <w:rPr>
          <w:rFonts w:hint="eastAsia" w:ascii="楷体" w:hAnsi="楷体" w:eastAsia="楷体" w:cs="楷体"/>
          <w:b/>
          <w:color w:val="000000"/>
          <w:kern w:val="0"/>
          <w:sz w:val="22"/>
          <w:szCs w:val="22"/>
          <w:lang w:val="zh-CN" w:eastAsia="zh-CN" w:bidi="ar"/>
        </w:rPr>
        <w:t>应届</w:t>
      </w:r>
      <w:r>
        <w:rPr>
          <w:rFonts w:hint="default" w:ascii="楷体" w:hAnsi="楷体" w:eastAsia="楷体" w:cs="楷体"/>
          <w:b/>
          <w:color w:val="000000"/>
          <w:kern w:val="0"/>
          <w:sz w:val="22"/>
          <w:szCs w:val="22"/>
          <w:lang w:val="zh-CN" w:eastAsia="zh-CN" w:bidi="ar"/>
        </w:rPr>
        <w:t>毕业生去向</w:t>
      </w:r>
      <w:bookmarkEnd w:id="55"/>
    </w:p>
    <w:tbl>
      <w:tblPr>
        <w:tblStyle w:val="7"/>
        <w:tblpPr w:leftFromText="180" w:rightFromText="180" w:vertAnchor="text" w:horzAnchor="page" w:tblpX="2341" w:tblpY="174"/>
        <w:tblOverlap w:val="never"/>
        <w:tblW w:w="8045" w:type="dxa"/>
        <w:tblInd w:w="0" w:type="dxa"/>
        <w:tblLayout w:type="fixed"/>
        <w:tblCellMar>
          <w:top w:w="0" w:type="dxa"/>
          <w:left w:w="108" w:type="dxa"/>
          <w:bottom w:w="0" w:type="dxa"/>
          <w:right w:w="108" w:type="dxa"/>
        </w:tblCellMar>
      </w:tblPr>
      <w:tblGrid>
        <w:gridCol w:w="740"/>
        <w:gridCol w:w="942"/>
        <w:gridCol w:w="750"/>
        <w:gridCol w:w="872"/>
        <w:gridCol w:w="817"/>
        <w:gridCol w:w="595"/>
        <w:gridCol w:w="629"/>
        <w:gridCol w:w="343"/>
        <w:gridCol w:w="522"/>
        <w:gridCol w:w="589"/>
        <w:gridCol w:w="540"/>
        <w:gridCol w:w="706"/>
      </w:tblGrid>
      <w:tr>
        <w:tblPrEx>
          <w:tblCellMar>
            <w:top w:w="0" w:type="dxa"/>
            <w:left w:w="108" w:type="dxa"/>
            <w:bottom w:w="0" w:type="dxa"/>
            <w:right w:w="108" w:type="dxa"/>
          </w:tblCellMar>
        </w:tblPrEx>
        <w:trPr>
          <w:trHeight w:val="758" w:hRule="atLeast"/>
        </w:trPr>
        <w:tc>
          <w:tcPr>
            <w:tcW w:w="74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b/>
                <w:bCs/>
                <w:kern w:val="2"/>
                <w:sz w:val="21"/>
                <w:szCs w:val="21"/>
                <w:lang w:val="zh-CN" w:bidi="zh-CN"/>
              </w:rPr>
            </w:pPr>
            <w:r>
              <w:rPr>
                <w:rFonts w:hint="eastAsia" w:ascii="仿宋" w:hAnsi="仿宋" w:eastAsia="仿宋" w:cs="仿宋"/>
                <w:b/>
                <w:bCs/>
                <w:kern w:val="2"/>
                <w:sz w:val="21"/>
                <w:szCs w:val="21"/>
                <w:lang w:val="zh-CN" w:bidi="zh-CN"/>
              </w:rPr>
              <w:t>专业</w:t>
            </w:r>
          </w:p>
        </w:tc>
        <w:tc>
          <w:tcPr>
            <w:tcW w:w="942"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b/>
                <w:bCs/>
                <w:kern w:val="2"/>
                <w:sz w:val="21"/>
                <w:szCs w:val="21"/>
                <w:lang w:val="zh-CN" w:bidi="zh-CN"/>
              </w:rPr>
            </w:pPr>
            <w:r>
              <w:rPr>
                <w:rFonts w:hint="eastAsia" w:ascii="仿宋" w:hAnsi="仿宋" w:eastAsia="仿宋" w:cs="仿宋"/>
                <w:b/>
                <w:bCs/>
                <w:kern w:val="2"/>
                <w:sz w:val="21"/>
                <w:szCs w:val="21"/>
                <w:lang w:val="zh-CN" w:bidi="zh-CN"/>
              </w:rPr>
              <w:t>毕业年份</w:t>
            </w:r>
          </w:p>
        </w:tc>
        <w:tc>
          <w:tcPr>
            <w:tcW w:w="750"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b/>
                <w:bCs/>
                <w:kern w:val="2"/>
                <w:sz w:val="21"/>
                <w:szCs w:val="21"/>
                <w:lang w:val="zh-CN" w:bidi="zh-CN"/>
              </w:rPr>
            </w:pPr>
            <w:r>
              <w:rPr>
                <w:rFonts w:hint="eastAsia" w:ascii="仿宋" w:hAnsi="仿宋" w:eastAsia="仿宋" w:cs="仿宋"/>
                <w:b/>
                <w:bCs/>
                <w:kern w:val="2"/>
                <w:sz w:val="21"/>
                <w:szCs w:val="21"/>
                <w:lang w:val="zh-CN" w:bidi="zh-CN"/>
              </w:rPr>
              <w:t>毕业生人数</w:t>
            </w:r>
          </w:p>
        </w:tc>
        <w:tc>
          <w:tcPr>
            <w:tcW w:w="872"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b/>
                <w:bCs/>
                <w:kern w:val="2"/>
                <w:sz w:val="21"/>
                <w:szCs w:val="21"/>
                <w:lang w:val="zh-CN" w:bidi="zh-CN"/>
              </w:rPr>
            </w:pPr>
            <w:r>
              <w:rPr>
                <w:rFonts w:hint="eastAsia" w:ascii="仿宋" w:hAnsi="仿宋" w:eastAsia="仿宋" w:cs="仿宋"/>
                <w:b/>
                <w:bCs/>
                <w:kern w:val="2"/>
                <w:sz w:val="21"/>
                <w:szCs w:val="21"/>
                <w:lang w:val="zh-CN" w:bidi="zh-CN"/>
              </w:rPr>
              <w:t>就业学生总数</w:t>
            </w:r>
          </w:p>
        </w:tc>
        <w:tc>
          <w:tcPr>
            <w:tcW w:w="817"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b/>
                <w:bCs/>
                <w:kern w:val="0"/>
                <w:sz w:val="21"/>
                <w:szCs w:val="21"/>
                <w:lang w:val="zh-CN" w:bidi="zh-CN"/>
              </w:rPr>
            </w:pPr>
            <w:r>
              <w:rPr>
                <w:rFonts w:hint="eastAsia" w:ascii="仿宋" w:hAnsi="仿宋" w:eastAsia="仿宋" w:cs="仿宋"/>
                <w:b/>
                <w:bCs/>
                <w:kern w:val="0"/>
                <w:sz w:val="21"/>
                <w:szCs w:val="21"/>
                <w:lang w:val="zh-CN" w:bidi="zh-CN"/>
              </w:rPr>
              <w:t>就业率</w:t>
            </w:r>
            <w:r>
              <w:rPr>
                <w:rFonts w:hint="eastAsia" w:ascii="仿宋" w:hAnsi="仿宋" w:eastAsia="仿宋" w:cs="仿宋"/>
                <w:kern w:val="0"/>
                <w:sz w:val="21"/>
                <w:szCs w:val="21"/>
                <w:lang w:val="zh-CN" w:bidi="zh-CN"/>
              </w:rPr>
              <w:t>%</w:t>
            </w:r>
          </w:p>
        </w:tc>
        <w:tc>
          <w:tcPr>
            <w:tcW w:w="59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b/>
                <w:bCs/>
                <w:kern w:val="2"/>
                <w:sz w:val="21"/>
                <w:szCs w:val="21"/>
                <w:lang w:val="zh-CN" w:bidi="zh-CN"/>
              </w:rPr>
            </w:pPr>
            <w:r>
              <w:rPr>
                <w:rFonts w:hint="eastAsia" w:ascii="仿宋" w:hAnsi="仿宋" w:eastAsia="仿宋" w:cs="仿宋"/>
                <w:b/>
                <w:bCs/>
                <w:kern w:val="2"/>
                <w:sz w:val="21"/>
                <w:szCs w:val="21"/>
                <w:lang w:val="zh-CN" w:bidi="zh-CN"/>
              </w:rPr>
              <w:t>政府机构</w:t>
            </w:r>
          </w:p>
        </w:tc>
        <w:tc>
          <w:tcPr>
            <w:tcW w:w="629"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b/>
                <w:bCs/>
                <w:kern w:val="2"/>
                <w:sz w:val="21"/>
                <w:szCs w:val="21"/>
                <w:lang w:val="zh-CN" w:bidi="zh-CN"/>
              </w:rPr>
            </w:pPr>
            <w:r>
              <w:rPr>
                <w:rFonts w:hint="eastAsia" w:ascii="仿宋" w:hAnsi="仿宋" w:eastAsia="仿宋" w:cs="仿宋"/>
                <w:b/>
                <w:bCs/>
                <w:kern w:val="2"/>
                <w:sz w:val="21"/>
                <w:szCs w:val="21"/>
                <w:lang w:val="zh-CN" w:bidi="zh-CN"/>
              </w:rPr>
              <w:t>事业单位</w:t>
            </w:r>
          </w:p>
        </w:tc>
        <w:tc>
          <w:tcPr>
            <w:tcW w:w="343"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b/>
                <w:bCs/>
                <w:kern w:val="2"/>
                <w:sz w:val="21"/>
                <w:szCs w:val="21"/>
                <w:lang w:val="zh-CN" w:bidi="zh-CN"/>
              </w:rPr>
            </w:pPr>
            <w:r>
              <w:rPr>
                <w:rFonts w:hint="eastAsia" w:ascii="仿宋" w:hAnsi="仿宋" w:eastAsia="仿宋" w:cs="仿宋"/>
                <w:b/>
                <w:bCs/>
                <w:kern w:val="2"/>
                <w:sz w:val="21"/>
                <w:szCs w:val="21"/>
                <w:lang w:val="zh-CN" w:bidi="zh-CN"/>
              </w:rPr>
              <w:t>企业</w:t>
            </w:r>
          </w:p>
        </w:tc>
        <w:tc>
          <w:tcPr>
            <w:tcW w:w="522"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b/>
                <w:bCs/>
                <w:kern w:val="2"/>
                <w:sz w:val="21"/>
                <w:szCs w:val="21"/>
                <w:lang w:val="zh-CN" w:bidi="zh-CN"/>
              </w:rPr>
            </w:pPr>
            <w:r>
              <w:rPr>
                <w:rFonts w:hint="eastAsia" w:ascii="仿宋" w:hAnsi="仿宋" w:eastAsia="仿宋" w:cs="仿宋"/>
                <w:b/>
                <w:bCs/>
                <w:kern w:val="2"/>
                <w:sz w:val="21"/>
                <w:szCs w:val="21"/>
                <w:lang w:val="zh-CN" w:bidi="zh-CN"/>
              </w:rPr>
              <w:t>部队</w:t>
            </w:r>
          </w:p>
        </w:tc>
        <w:tc>
          <w:tcPr>
            <w:tcW w:w="589"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b/>
                <w:bCs/>
                <w:kern w:val="2"/>
                <w:sz w:val="21"/>
                <w:szCs w:val="21"/>
                <w:lang w:val="zh-CN" w:bidi="zh-CN"/>
              </w:rPr>
            </w:pPr>
            <w:r>
              <w:rPr>
                <w:rFonts w:hint="eastAsia" w:ascii="仿宋" w:hAnsi="仿宋" w:eastAsia="仿宋" w:cs="仿宋"/>
                <w:b/>
                <w:bCs/>
                <w:kern w:val="2"/>
                <w:sz w:val="21"/>
                <w:szCs w:val="21"/>
                <w:lang w:val="zh-CN" w:bidi="zh-CN"/>
              </w:rPr>
              <w:t>灵活就业</w:t>
            </w:r>
          </w:p>
        </w:tc>
        <w:tc>
          <w:tcPr>
            <w:tcW w:w="540"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b/>
                <w:bCs/>
                <w:kern w:val="2"/>
                <w:sz w:val="21"/>
                <w:szCs w:val="21"/>
                <w:lang w:val="zh-CN" w:bidi="zh-CN"/>
              </w:rPr>
            </w:pPr>
            <w:r>
              <w:rPr>
                <w:rFonts w:hint="eastAsia" w:ascii="仿宋" w:hAnsi="仿宋" w:eastAsia="仿宋" w:cs="仿宋"/>
                <w:b/>
                <w:bCs/>
                <w:kern w:val="2"/>
                <w:sz w:val="21"/>
                <w:szCs w:val="21"/>
                <w:lang w:val="zh-CN" w:bidi="zh-CN"/>
              </w:rPr>
              <w:t>出国</w:t>
            </w:r>
          </w:p>
        </w:tc>
        <w:tc>
          <w:tcPr>
            <w:tcW w:w="706"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b/>
                <w:bCs/>
                <w:kern w:val="2"/>
                <w:sz w:val="21"/>
                <w:szCs w:val="21"/>
                <w:lang w:val="zh-CN" w:bidi="zh-CN"/>
              </w:rPr>
            </w:pPr>
            <w:r>
              <w:rPr>
                <w:rFonts w:hint="eastAsia" w:ascii="仿宋" w:hAnsi="仿宋" w:eastAsia="仿宋" w:cs="仿宋"/>
                <w:b/>
                <w:bCs/>
                <w:kern w:val="2"/>
                <w:sz w:val="21"/>
                <w:szCs w:val="21"/>
                <w:lang w:val="zh-CN" w:bidi="zh-CN"/>
              </w:rPr>
              <w:t>升学</w:t>
            </w:r>
          </w:p>
        </w:tc>
      </w:tr>
      <w:tr>
        <w:tblPrEx>
          <w:tblCellMar>
            <w:top w:w="0" w:type="dxa"/>
            <w:left w:w="108" w:type="dxa"/>
            <w:bottom w:w="0" w:type="dxa"/>
            <w:right w:w="108" w:type="dxa"/>
          </w:tblCellMar>
        </w:tblPrEx>
        <w:trPr>
          <w:trHeight w:val="481" w:hRule="atLeast"/>
        </w:trPr>
        <w:tc>
          <w:tcPr>
            <w:tcW w:w="740" w:type="dxa"/>
            <w:vMerge w:val="restart"/>
            <w:tcBorders>
              <w:top w:val="nil"/>
              <w:left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zh-CN" w:bidi="zh-CN"/>
              </w:rPr>
            </w:pPr>
            <w:r>
              <w:rPr>
                <w:rFonts w:hint="eastAsia" w:ascii="仿宋" w:hAnsi="仿宋" w:eastAsia="仿宋" w:cs="仿宋"/>
                <w:kern w:val="2"/>
                <w:sz w:val="21"/>
                <w:szCs w:val="21"/>
                <w:lang w:val="zh-CN" w:bidi="zh-CN"/>
              </w:rPr>
              <w:t>临床医学专业</w:t>
            </w:r>
          </w:p>
        </w:tc>
        <w:tc>
          <w:tcPr>
            <w:tcW w:w="942" w:type="dxa"/>
            <w:tcBorders>
              <w:top w:val="nil"/>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zh-CN" w:bidi="zh-CN"/>
              </w:rPr>
            </w:pPr>
            <w:r>
              <w:rPr>
                <w:rFonts w:hint="eastAsia" w:ascii="仿宋" w:hAnsi="仿宋" w:eastAsia="仿宋" w:cs="仿宋"/>
                <w:kern w:val="2"/>
                <w:sz w:val="21"/>
                <w:szCs w:val="21"/>
                <w:lang w:val="zh-CN" w:bidi="zh-CN"/>
              </w:rPr>
              <w:t>2017</w:t>
            </w:r>
          </w:p>
        </w:tc>
        <w:tc>
          <w:tcPr>
            <w:tcW w:w="750" w:type="dxa"/>
            <w:tcBorders>
              <w:top w:val="nil"/>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zh-CN" w:bidi="zh-CN"/>
              </w:rPr>
            </w:pPr>
            <w:r>
              <w:rPr>
                <w:rFonts w:hint="eastAsia" w:ascii="仿宋" w:hAnsi="仿宋" w:eastAsia="仿宋" w:cs="仿宋"/>
                <w:kern w:val="2"/>
                <w:sz w:val="21"/>
                <w:szCs w:val="21"/>
                <w:lang w:val="zh-CN" w:bidi="zh-CN"/>
              </w:rPr>
              <w:t>36</w:t>
            </w:r>
          </w:p>
        </w:tc>
        <w:tc>
          <w:tcPr>
            <w:tcW w:w="872" w:type="dxa"/>
            <w:tcBorders>
              <w:top w:val="nil"/>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zh-CN" w:bidi="zh-CN"/>
              </w:rPr>
            </w:pPr>
            <w:r>
              <w:rPr>
                <w:rFonts w:hint="eastAsia" w:ascii="仿宋" w:hAnsi="仿宋" w:eastAsia="仿宋" w:cs="仿宋"/>
                <w:kern w:val="2"/>
                <w:sz w:val="21"/>
                <w:szCs w:val="21"/>
                <w:lang w:val="zh-CN" w:bidi="zh-CN"/>
              </w:rPr>
              <w:t>36</w:t>
            </w:r>
          </w:p>
        </w:tc>
        <w:tc>
          <w:tcPr>
            <w:tcW w:w="817"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0"/>
                <w:sz w:val="21"/>
                <w:szCs w:val="21"/>
                <w:lang w:val="zh-CN" w:bidi="zh-CN"/>
              </w:rPr>
            </w:pPr>
            <w:r>
              <w:rPr>
                <w:rFonts w:hint="eastAsia" w:ascii="仿宋" w:hAnsi="仿宋" w:eastAsia="仿宋" w:cs="仿宋"/>
                <w:kern w:val="0"/>
                <w:sz w:val="21"/>
                <w:szCs w:val="21"/>
                <w:lang w:val="zh-CN" w:bidi="zh-CN"/>
              </w:rPr>
              <w:t>100</w:t>
            </w:r>
          </w:p>
        </w:tc>
        <w:tc>
          <w:tcPr>
            <w:tcW w:w="59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zh-CN" w:bidi="zh-CN"/>
              </w:rPr>
            </w:pPr>
            <w:r>
              <w:rPr>
                <w:rFonts w:hint="eastAsia" w:ascii="仿宋" w:hAnsi="仿宋" w:eastAsia="仿宋" w:cs="仿宋"/>
                <w:kern w:val="2"/>
                <w:sz w:val="21"/>
                <w:szCs w:val="21"/>
                <w:lang w:val="zh-CN" w:bidi="zh-CN"/>
              </w:rPr>
              <w:t>0</w:t>
            </w:r>
          </w:p>
        </w:tc>
        <w:tc>
          <w:tcPr>
            <w:tcW w:w="629" w:type="dxa"/>
            <w:tcBorders>
              <w:top w:val="nil"/>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zh-CN" w:bidi="zh-CN"/>
              </w:rPr>
            </w:pPr>
            <w:r>
              <w:rPr>
                <w:rFonts w:hint="eastAsia" w:ascii="仿宋" w:hAnsi="仿宋" w:eastAsia="仿宋" w:cs="仿宋"/>
                <w:kern w:val="2"/>
                <w:sz w:val="21"/>
                <w:szCs w:val="21"/>
                <w:lang w:val="zh-CN" w:bidi="zh-CN"/>
              </w:rPr>
              <w:t>23</w:t>
            </w:r>
          </w:p>
        </w:tc>
        <w:tc>
          <w:tcPr>
            <w:tcW w:w="343" w:type="dxa"/>
            <w:tcBorders>
              <w:top w:val="nil"/>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zh-CN" w:bidi="zh-CN"/>
              </w:rPr>
            </w:pPr>
            <w:r>
              <w:rPr>
                <w:rFonts w:hint="eastAsia" w:ascii="仿宋" w:hAnsi="仿宋" w:eastAsia="仿宋" w:cs="仿宋"/>
                <w:kern w:val="2"/>
                <w:sz w:val="21"/>
                <w:szCs w:val="21"/>
                <w:lang w:val="zh-CN" w:bidi="zh-CN"/>
              </w:rPr>
              <w:t>3</w:t>
            </w:r>
          </w:p>
        </w:tc>
        <w:tc>
          <w:tcPr>
            <w:tcW w:w="522" w:type="dxa"/>
            <w:tcBorders>
              <w:top w:val="nil"/>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zh-CN" w:bidi="zh-CN"/>
              </w:rPr>
            </w:pPr>
            <w:r>
              <w:rPr>
                <w:rFonts w:hint="eastAsia" w:ascii="仿宋" w:hAnsi="仿宋" w:eastAsia="仿宋" w:cs="仿宋"/>
                <w:kern w:val="2"/>
                <w:sz w:val="21"/>
                <w:szCs w:val="21"/>
                <w:lang w:val="zh-CN" w:bidi="zh-CN"/>
              </w:rPr>
              <w:t>0</w:t>
            </w:r>
          </w:p>
        </w:tc>
        <w:tc>
          <w:tcPr>
            <w:tcW w:w="589" w:type="dxa"/>
            <w:tcBorders>
              <w:top w:val="nil"/>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zh-CN" w:bidi="zh-CN"/>
              </w:rPr>
            </w:pPr>
            <w:r>
              <w:rPr>
                <w:rFonts w:hint="eastAsia" w:ascii="仿宋" w:hAnsi="仿宋" w:eastAsia="仿宋" w:cs="仿宋"/>
                <w:kern w:val="2"/>
                <w:sz w:val="21"/>
                <w:szCs w:val="21"/>
                <w:lang w:val="zh-CN" w:bidi="zh-CN"/>
              </w:rPr>
              <w:t>0</w:t>
            </w:r>
          </w:p>
        </w:tc>
        <w:tc>
          <w:tcPr>
            <w:tcW w:w="540" w:type="dxa"/>
            <w:tcBorders>
              <w:top w:val="nil"/>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zh-CN" w:bidi="zh-CN"/>
              </w:rPr>
            </w:pPr>
            <w:r>
              <w:rPr>
                <w:rFonts w:hint="eastAsia" w:ascii="仿宋" w:hAnsi="仿宋" w:eastAsia="仿宋" w:cs="仿宋"/>
                <w:kern w:val="2"/>
                <w:sz w:val="21"/>
                <w:szCs w:val="21"/>
                <w:lang w:val="zh-CN" w:bidi="zh-CN"/>
              </w:rPr>
              <w:t>0</w:t>
            </w:r>
          </w:p>
        </w:tc>
        <w:tc>
          <w:tcPr>
            <w:tcW w:w="706" w:type="dxa"/>
            <w:tcBorders>
              <w:top w:val="nil"/>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zh-CN" w:bidi="zh-CN"/>
              </w:rPr>
            </w:pPr>
            <w:r>
              <w:rPr>
                <w:rFonts w:hint="eastAsia" w:ascii="仿宋" w:hAnsi="仿宋" w:eastAsia="仿宋" w:cs="仿宋"/>
                <w:kern w:val="2"/>
                <w:sz w:val="21"/>
                <w:szCs w:val="21"/>
                <w:lang w:val="zh-CN" w:bidi="zh-CN"/>
              </w:rPr>
              <w:t>10</w:t>
            </w:r>
          </w:p>
        </w:tc>
      </w:tr>
      <w:tr>
        <w:tblPrEx>
          <w:tblCellMar>
            <w:top w:w="0" w:type="dxa"/>
            <w:left w:w="108" w:type="dxa"/>
            <w:bottom w:w="0" w:type="dxa"/>
            <w:right w:w="108" w:type="dxa"/>
          </w:tblCellMar>
        </w:tblPrEx>
        <w:trPr>
          <w:trHeight w:val="522" w:hRule="atLeast"/>
        </w:trPr>
        <w:tc>
          <w:tcPr>
            <w:tcW w:w="740" w:type="dxa"/>
            <w:vMerge w:val="continue"/>
            <w:tcBorders>
              <w:left w:val="single" w:color="auto" w:sz="4" w:space="0"/>
              <w:right w:val="single" w:color="auto" w:sz="4" w:space="0"/>
            </w:tcBorders>
            <w:vAlign w:val="center"/>
          </w:tcPr>
          <w:p>
            <w:pPr>
              <w:widowControl/>
              <w:autoSpaceDE w:val="0"/>
              <w:autoSpaceDN w:val="0"/>
              <w:spacing w:line="240" w:lineRule="auto"/>
              <w:jc w:val="center"/>
              <w:rPr>
                <w:rFonts w:hint="eastAsia" w:ascii="仿宋" w:hAnsi="仿宋" w:eastAsia="仿宋" w:cs="仿宋"/>
                <w:kern w:val="2"/>
                <w:sz w:val="21"/>
                <w:szCs w:val="21"/>
                <w:lang w:val="zh-CN" w:bidi="zh-CN"/>
              </w:rPr>
            </w:pPr>
          </w:p>
        </w:tc>
        <w:tc>
          <w:tcPr>
            <w:tcW w:w="942"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zh-CN" w:bidi="zh-CN"/>
              </w:rPr>
            </w:pPr>
            <w:r>
              <w:rPr>
                <w:rFonts w:hint="eastAsia" w:ascii="仿宋" w:hAnsi="仿宋" w:eastAsia="仿宋" w:cs="仿宋"/>
                <w:kern w:val="2"/>
                <w:sz w:val="21"/>
                <w:szCs w:val="21"/>
                <w:lang w:val="zh-CN" w:bidi="zh-CN"/>
              </w:rPr>
              <w:t>2018</w:t>
            </w:r>
          </w:p>
        </w:tc>
        <w:tc>
          <w:tcPr>
            <w:tcW w:w="750"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zh-CN" w:bidi="zh-CN"/>
              </w:rPr>
            </w:pPr>
            <w:r>
              <w:rPr>
                <w:rFonts w:hint="eastAsia" w:ascii="仿宋" w:hAnsi="仿宋" w:eastAsia="仿宋" w:cs="仿宋"/>
                <w:kern w:val="2"/>
                <w:sz w:val="21"/>
                <w:szCs w:val="21"/>
                <w:lang w:val="zh-CN" w:bidi="zh-CN"/>
              </w:rPr>
              <w:t>27</w:t>
            </w:r>
          </w:p>
        </w:tc>
        <w:tc>
          <w:tcPr>
            <w:tcW w:w="872"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zh-CN" w:bidi="zh-CN"/>
              </w:rPr>
            </w:pPr>
            <w:r>
              <w:rPr>
                <w:rFonts w:hint="eastAsia" w:ascii="仿宋" w:hAnsi="仿宋" w:eastAsia="仿宋" w:cs="仿宋"/>
                <w:kern w:val="2"/>
                <w:sz w:val="21"/>
                <w:szCs w:val="21"/>
                <w:lang w:val="zh-CN" w:bidi="zh-CN"/>
              </w:rPr>
              <w:t>26</w:t>
            </w:r>
          </w:p>
        </w:tc>
        <w:tc>
          <w:tcPr>
            <w:tcW w:w="817"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0"/>
                <w:sz w:val="21"/>
                <w:szCs w:val="21"/>
                <w:lang w:val="zh-CN" w:bidi="zh-CN"/>
              </w:rPr>
            </w:pPr>
            <w:r>
              <w:rPr>
                <w:rFonts w:hint="eastAsia" w:ascii="仿宋" w:hAnsi="仿宋" w:eastAsia="仿宋" w:cs="仿宋"/>
                <w:kern w:val="0"/>
                <w:sz w:val="21"/>
                <w:szCs w:val="21"/>
                <w:lang w:val="zh-CN" w:bidi="zh-CN"/>
              </w:rPr>
              <w:t>96.30</w:t>
            </w:r>
          </w:p>
        </w:tc>
        <w:tc>
          <w:tcPr>
            <w:tcW w:w="59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zh-CN" w:bidi="zh-CN"/>
              </w:rPr>
            </w:pPr>
            <w:r>
              <w:rPr>
                <w:rFonts w:hint="eastAsia" w:ascii="仿宋" w:hAnsi="仿宋" w:eastAsia="仿宋" w:cs="仿宋"/>
                <w:kern w:val="2"/>
                <w:sz w:val="21"/>
                <w:szCs w:val="21"/>
                <w:lang w:val="zh-CN" w:bidi="zh-CN"/>
              </w:rPr>
              <w:t>2</w:t>
            </w:r>
          </w:p>
        </w:tc>
        <w:tc>
          <w:tcPr>
            <w:tcW w:w="629"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zh-CN" w:bidi="zh-CN"/>
              </w:rPr>
            </w:pPr>
            <w:r>
              <w:rPr>
                <w:rFonts w:hint="eastAsia" w:ascii="仿宋" w:hAnsi="仿宋" w:eastAsia="仿宋" w:cs="仿宋"/>
                <w:kern w:val="2"/>
                <w:sz w:val="21"/>
                <w:szCs w:val="21"/>
                <w:lang w:val="zh-CN" w:bidi="zh-CN"/>
              </w:rPr>
              <w:t>19</w:t>
            </w:r>
          </w:p>
        </w:tc>
        <w:tc>
          <w:tcPr>
            <w:tcW w:w="343"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zh-CN" w:bidi="zh-CN"/>
              </w:rPr>
            </w:pPr>
            <w:r>
              <w:rPr>
                <w:rFonts w:hint="eastAsia" w:ascii="仿宋" w:hAnsi="仿宋" w:eastAsia="仿宋" w:cs="仿宋"/>
                <w:kern w:val="2"/>
                <w:sz w:val="21"/>
                <w:szCs w:val="21"/>
                <w:lang w:val="zh-CN" w:bidi="zh-CN"/>
              </w:rPr>
              <w:t>1</w:t>
            </w:r>
          </w:p>
        </w:tc>
        <w:tc>
          <w:tcPr>
            <w:tcW w:w="522"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zh-CN" w:bidi="zh-CN"/>
              </w:rPr>
            </w:pPr>
            <w:r>
              <w:rPr>
                <w:rFonts w:hint="eastAsia" w:ascii="仿宋" w:hAnsi="仿宋" w:eastAsia="仿宋" w:cs="仿宋"/>
                <w:kern w:val="2"/>
                <w:sz w:val="21"/>
                <w:szCs w:val="21"/>
                <w:lang w:val="zh-CN" w:bidi="zh-CN"/>
              </w:rPr>
              <w:t>0</w:t>
            </w:r>
          </w:p>
        </w:tc>
        <w:tc>
          <w:tcPr>
            <w:tcW w:w="589"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zh-CN" w:bidi="zh-CN"/>
              </w:rPr>
            </w:pPr>
            <w:r>
              <w:rPr>
                <w:rFonts w:hint="eastAsia" w:ascii="仿宋" w:hAnsi="仿宋" w:eastAsia="仿宋" w:cs="仿宋"/>
                <w:kern w:val="2"/>
                <w:sz w:val="21"/>
                <w:szCs w:val="21"/>
                <w:lang w:val="zh-CN" w:bidi="zh-CN"/>
              </w:rPr>
              <w:t>0</w:t>
            </w:r>
          </w:p>
        </w:tc>
        <w:tc>
          <w:tcPr>
            <w:tcW w:w="540"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zh-CN" w:bidi="zh-CN"/>
              </w:rPr>
            </w:pPr>
            <w:r>
              <w:rPr>
                <w:rFonts w:hint="eastAsia" w:ascii="仿宋" w:hAnsi="仿宋" w:eastAsia="仿宋" w:cs="仿宋"/>
                <w:kern w:val="2"/>
                <w:sz w:val="21"/>
                <w:szCs w:val="21"/>
                <w:lang w:val="zh-CN" w:bidi="zh-CN"/>
              </w:rPr>
              <w:t>0</w:t>
            </w:r>
          </w:p>
        </w:tc>
        <w:tc>
          <w:tcPr>
            <w:tcW w:w="706"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zh-CN" w:bidi="zh-CN"/>
              </w:rPr>
            </w:pPr>
            <w:r>
              <w:rPr>
                <w:rFonts w:hint="eastAsia" w:ascii="仿宋" w:hAnsi="仿宋" w:eastAsia="仿宋" w:cs="仿宋"/>
                <w:kern w:val="2"/>
                <w:sz w:val="21"/>
                <w:szCs w:val="21"/>
                <w:lang w:val="zh-CN" w:bidi="zh-CN"/>
              </w:rPr>
              <w:t>4</w:t>
            </w:r>
          </w:p>
        </w:tc>
      </w:tr>
      <w:tr>
        <w:tblPrEx>
          <w:tblCellMar>
            <w:top w:w="0" w:type="dxa"/>
            <w:left w:w="108" w:type="dxa"/>
            <w:bottom w:w="0" w:type="dxa"/>
            <w:right w:w="108" w:type="dxa"/>
          </w:tblCellMar>
        </w:tblPrEx>
        <w:trPr>
          <w:trHeight w:val="497" w:hRule="atLeast"/>
        </w:trPr>
        <w:tc>
          <w:tcPr>
            <w:tcW w:w="740" w:type="dxa"/>
            <w:vMerge w:val="continue"/>
            <w:tcBorders>
              <w:left w:val="single" w:color="auto" w:sz="4" w:space="0"/>
              <w:bottom w:val="single" w:color="000000" w:sz="4" w:space="0"/>
              <w:right w:val="single" w:color="auto" w:sz="4" w:space="0"/>
            </w:tcBorders>
            <w:vAlign w:val="center"/>
          </w:tcPr>
          <w:p>
            <w:pPr>
              <w:widowControl/>
              <w:autoSpaceDE w:val="0"/>
              <w:autoSpaceDN w:val="0"/>
              <w:spacing w:line="240" w:lineRule="auto"/>
              <w:jc w:val="center"/>
              <w:rPr>
                <w:rFonts w:hint="eastAsia" w:ascii="仿宋" w:hAnsi="仿宋" w:eastAsia="仿宋" w:cs="仿宋"/>
                <w:kern w:val="2"/>
                <w:sz w:val="21"/>
                <w:szCs w:val="21"/>
                <w:lang w:val="zh-CN" w:bidi="zh-CN"/>
              </w:rPr>
            </w:pPr>
          </w:p>
        </w:tc>
        <w:tc>
          <w:tcPr>
            <w:tcW w:w="942"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en-US" w:bidi="zh-CN"/>
              </w:rPr>
            </w:pPr>
            <w:r>
              <w:rPr>
                <w:rFonts w:hint="eastAsia" w:ascii="仿宋" w:hAnsi="仿宋" w:eastAsia="仿宋" w:cs="仿宋"/>
                <w:kern w:val="2"/>
                <w:sz w:val="21"/>
                <w:szCs w:val="21"/>
                <w:lang w:val="zh-CN" w:bidi="zh-CN"/>
              </w:rPr>
              <w:t>201</w:t>
            </w:r>
            <w:r>
              <w:rPr>
                <w:rFonts w:hint="eastAsia" w:ascii="仿宋" w:hAnsi="仿宋" w:eastAsia="仿宋" w:cs="仿宋"/>
                <w:kern w:val="2"/>
                <w:sz w:val="21"/>
                <w:szCs w:val="21"/>
                <w:lang w:val="en-US" w:bidi="zh-CN"/>
              </w:rPr>
              <w:t>9</w:t>
            </w:r>
          </w:p>
        </w:tc>
        <w:tc>
          <w:tcPr>
            <w:tcW w:w="750"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en-US" w:bidi="zh-CN"/>
              </w:rPr>
            </w:pPr>
            <w:r>
              <w:rPr>
                <w:rFonts w:hint="eastAsia" w:ascii="仿宋" w:hAnsi="仿宋" w:eastAsia="仿宋" w:cs="仿宋"/>
                <w:kern w:val="2"/>
                <w:sz w:val="21"/>
                <w:szCs w:val="21"/>
                <w:lang w:val="en-US" w:bidi="zh-CN"/>
              </w:rPr>
              <w:t>68</w:t>
            </w:r>
          </w:p>
        </w:tc>
        <w:tc>
          <w:tcPr>
            <w:tcW w:w="872"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en-US" w:bidi="zh-CN"/>
              </w:rPr>
            </w:pPr>
            <w:r>
              <w:rPr>
                <w:rFonts w:hint="eastAsia" w:ascii="仿宋" w:hAnsi="仿宋" w:eastAsia="仿宋" w:cs="仿宋"/>
                <w:kern w:val="2"/>
                <w:sz w:val="21"/>
                <w:szCs w:val="21"/>
                <w:lang w:val="en-US" w:bidi="zh-CN"/>
              </w:rPr>
              <w:t>58</w:t>
            </w:r>
          </w:p>
        </w:tc>
        <w:tc>
          <w:tcPr>
            <w:tcW w:w="817"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0"/>
                <w:sz w:val="21"/>
                <w:szCs w:val="21"/>
                <w:lang w:val="zh-CN" w:bidi="zh-CN"/>
              </w:rPr>
            </w:pPr>
            <w:r>
              <w:rPr>
                <w:rFonts w:hint="eastAsia" w:ascii="仿宋" w:hAnsi="仿宋" w:eastAsia="仿宋" w:cs="仿宋"/>
                <w:kern w:val="0"/>
                <w:sz w:val="21"/>
                <w:szCs w:val="21"/>
                <w:lang w:val="en-US" w:bidi="zh-CN"/>
              </w:rPr>
              <w:t>85</w:t>
            </w:r>
            <w:r>
              <w:rPr>
                <w:rFonts w:hint="eastAsia" w:ascii="仿宋" w:hAnsi="仿宋" w:eastAsia="仿宋" w:cs="仿宋"/>
                <w:kern w:val="0"/>
                <w:sz w:val="21"/>
                <w:szCs w:val="21"/>
                <w:lang w:val="zh-CN" w:bidi="zh-CN"/>
              </w:rPr>
              <w:t>.30</w:t>
            </w:r>
          </w:p>
        </w:tc>
        <w:tc>
          <w:tcPr>
            <w:tcW w:w="59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en-US" w:bidi="zh-CN"/>
              </w:rPr>
            </w:pPr>
            <w:r>
              <w:rPr>
                <w:rFonts w:hint="eastAsia" w:ascii="仿宋" w:hAnsi="仿宋" w:eastAsia="仿宋" w:cs="仿宋"/>
                <w:kern w:val="2"/>
                <w:sz w:val="21"/>
                <w:szCs w:val="21"/>
                <w:lang w:val="en-US" w:bidi="zh-CN"/>
              </w:rPr>
              <w:t>0</w:t>
            </w:r>
          </w:p>
        </w:tc>
        <w:tc>
          <w:tcPr>
            <w:tcW w:w="629"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en-US" w:bidi="zh-CN"/>
              </w:rPr>
            </w:pPr>
            <w:r>
              <w:rPr>
                <w:rFonts w:hint="eastAsia" w:ascii="仿宋" w:hAnsi="仿宋" w:eastAsia="仿宋" w:cs="仿宋"/>
                <w:kern w:val="2"/>
                <w:sz w:val="21"/>
                <w:szCs w:val="21"/>
                <w:lang w:val="en-US" w:bidi="zh-CN"/>
              </w:rPr>
              <w:t>44</w:t>
            </w:r>
          </w:p>
        </w:tc>
        <w:tc>
          <w:tcPr>
            <w:tcW w:w="343"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en-US" w:bidi="zh-CN"/>
              </w:rPr>
            </w:pPr>
            <w:r>
              <w:rPr>
                <w:rFonts w:hint="eastAsia" w:ascii="仿宋" w:hAnsi="仿宋" w:eastAsia="仿宋" w:cs="仿宋"/>
                <w:kern w:val="2"/>
                <w:sz w:val="21"/>
                <w:szCs w:val="21"/>
                <w:lang w:val="en-US" w:bidi="zh-CN"/>
              </w:rPr>
              <w:t>3</w:t>
            </w:r>
          </w:p>
        </w:tc>
        <w:tc>
          <w:tcPr>
            <w:tcW w:w="522"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en-US" w:bidi="zh-CN"/>
              </w:rPr>
            </w:pPr>
            <w:r>
              <w:rPr>
                <w:rFonts w:hint="eastAsia" w:ascii="仿宋" w:hAnsi="仿宋" w:eastAsia="仿宋" w:cs="仿宋"/>
                <w:kern w:val="2"/>
                <w:sz w:val="21"/>
                <w:szCs w:val="21"/>
                <w:lang w:val="en-US" w:bidi="zh-CN"/>
              </w:rPr>
              <w:t>1</w:t>
            </w:r>
          </w:p>
        </w:tc>
        <w:tc>
          <w:tcPr>
            <w:tcW w:w="589"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zh-CN" w:bidi="zh-CN"/>
              </w:rPr>
            </w:pPr>
            <w:r>
              <w:rPr>
                <w:rFonts w:hint="eastAsia" w:ascii="仿宋" w:hAnsi="仿宋" w:eastAsia="仿宋" w:cs="仿宋"/>
                <w:kern w:val="2"/>
                <w:sz w:val="21"/>
                <w:szCs w:val="21"/>
                <w:lang w:val="zh-CN" w:bidi="zh-CN"/>
              </w:rPr>
              <w:t>0</w:t>
            </w:r>
          </w:p>
        </w:tc>
        <w:tc>
          <w:tcPr>
            <w:tcW w:w="540"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zh-CN" w:bidi="zh-CN"/>
              </w:rPr>
            </w:pPr>
            <w:r>
              <w:rPr>
                <w:rFonts w:hint="eastAsia" w:ascii="仿宋" w:hAnsi="仿宋" w:eastAsia="仿宋" w:cs="仿宋"/>
                <w:kern w:val="2"/>
                <w:sz w:val="21"/>
                <w:szCs w:val="21"/>
                <w:lang w:val="zh-CN" w:bidi="zh-CN"/>
              </w:rPr>
              <w:t>0</w:t>
            </w:r>
          </w:p>
        </w:tc>
        <w:tc>
          <w:tcPr>
            <w:tcW w:w="706" w:type="dxa"/>
            <w:tcBorders>
              <w:top w:val="single" w:color="auto" w:sz="4" w:space="0"/>
              <w:left w:val="nil"/>
              <w:bottom w:val="single" w:color="auto" w:sz="4" w:space="0"/>
              <w:right w:val="single" w:color="auto" w:sz="4" w:space="0"/>
            </w:tcBorders>
            <w:vAlign w:val="center"/>
          </w:tcPr>
          <w:p>
            <w:pPr>
              <w:autoSpaceDE w:val="0"/>
              <w:autoSpaceDN w:val="0"/>
              <w:spacing w:line="240" w:lineRule="auto"/>
              <w:jc w:val="center"/>
              <w:rPr>
                <w:rFonts w:hint="eastAsia" w:ascii="仿宋" w:hAnsi="仿宋" w:eastAsia="仿宋" w:cs="仿宋"/>
                <w:kern w:val="2"/>
                <w:sz w:val="21"/>
                <w:szCs w:val="21"/>
                <w:lang w:val="en-US" w:bidi="zh-CN"/>
              </w:rPr>
            </w:pPr>
            <w:r>
              <w:rPr>
                <w:rFonts w:hint="eastAsia" w:ascii="仿宋" w:hAnsi="仿宋" w:eastAsia="仿宋" w:cs="仿宋"/>
                <w:kern w:val="2"/>
                <w:sz w:val="21"/>
                <w:szCs w:val="21"/>
                <w:lang w:val="en-US" w:bidi="zh-CN"/>
              </w:rPr>
              <w:t>10</w:t>
            </w:r>
          </w:p>
        </w:tc>
      </w:tr>
    </w:tbl>
    <w:p>
      <w:pPr>
        <w:pStyle w:val="9"/>
        <w:adjustRightInd w:val="0"/>
        <w:snapToGrid w:val="0"/>
        <w:spacing w:before="0" w:after="0" w:line="240" w:lineRule="auto"/>
        <w:ind w:firstLine="442" w:firstLineChars="200"/>
        <w:rPr>
          <w:rFonts w:hint="eastAsia" w:ascii="楷体" w:hAnsi="楷体" w:eastAsia="楷体" w:cs="楷体"/>
          <w:b/>
          <w:color w:val="000000"/>
          <w:kern w:val="0"/>
          <w:sz w:val="22"/>
          <w:szCs w:val="22"/>
          <w:lang w:val="en-US" w:eastAsia="zh-CN" w:bidi="ar"/>
        </w:rPr>
      </w:pPr>
    </w:p>
    <w:p>
      <w:pPr>
        <w:pStyle w:val="9"/>
        <w:adjustRightInd w:val="0"/>
        <w:snapToGrid w:val="0"/>
        <w:spacing w:before="0" w:after="0" w:line="360" w:lineRule="auto"/>
        <w:ind w:firstLine="420" w:firstLineChars="200"/>
        <w:rPr>
          <w:rFonts w:hint="eastAsia" w:ascii="楷体" w:hAnsi="楷体" w:eastAsia="楷体" w:cs="楷体"/>
          <w:b/>
          <w:color w:val="000000"/>
          <w:kern w:val="0"/>
          <w:sz w:val="22"/>
          <w:szCs w:val="22"/>
          <w:lang w:val="en-US" w:eastAsia="zh-CN" w:bidi="ar"/>
        </w:rPr>
      </w:pPr>
      <w:r>
        <w:rPr>
          <w:rFonts w:hint="eastAsia" w:ascii="宋体" w:hAnsi="宋体" w:eastAsia="宋体" w:cs="宋体"/>
          <w:color w:val="000000"/>
          <w:kern w:val="0"/>
          <w:sz w:val="21"/>
          <w:szCs w:val="21"/>
          <w:lang w:val="en-US" w:eastAsia="zh-CN" w:bidi="ar"/>
        </w:rPr>
        <w:t>临床医学本科专业</w:t>
      </w:r>
      <w:r>
        <w:rPr>
          <w:rFonts w:hint="eastAsia" w:ascii="宋体" w:hAnsi="宋体" w:cs="宋体"/>
          <w:color w:val="000000"/>
          <w:kern w:val="0"/>
          <w:sz w:val="21"/>
          <w:szCs w:val="21"/>
          <w:lang w:val="en-US" w:eastAsia="zh-CN" w:bidi="ar"/>
        </w:rPr>
        <w:t>学生自2017年首届毕业以来，截止2020年9月，临床医学专业本科毕业生累计</w:t>
      </w:r>
      <w:r>
        <w:rPr>
          <w:rFonts w:hint="eastAsia" w:ascii="宋体" w:hAnsi="宋体" w:cs="宋体"/>
          <w:b/>
          <w:bCs/>
          <w:color w:val="000000"/>
          <w:kern w:val="0"/>
          <w:sz w:val="21"/>
          <w:szCs w:val="21"/>
          <w:u w:val="single"/>
          <w:lang w:val="en-US" w:eastAsia="zh-CN" w:bidi="ar"/>
        </w:rPr>
        <w:t>考取研究生人数57人</w:t>
      </w:r>
      <w:r>
        <w:rPr>
          <w:rFonts w:hint="eastAsia" w:ascii="宋体" w:hAnsi="宋体" w:cs="宋体"/>
          <w:color w:val="000000"/>
          <w:kern w:val="0"/>
          <w:sz w:val="21"/>
          <w:szCs w:val="21"/>
          <w:lang w:val="en-US" w:eastAsia="zh-CN" w:bidi="ar"/>
        </w:rPr>
        <w:t>（具体见附表：成都大学医学院临床医学考研统计表（2017-2020））</w:t>
      </w:r>
      <w:r>
        <w:rPr>
          <w:rFonts w:hint="eastAsia" w:ascii="宋体" w:hAnsi="宋体" w:eastAsia="宋体" w:cs="宋体"/>
          <w:color w:val="000000"/>
          <w:kern w:val="0"/>
          <w:sz w:val="21"/>
          <w:szCs w:val="21"/>
          <w:lang w:val="en-US" w:eastAsia="zh-CN" w:bidi="ar"/>
        </w:rPr>
        <w:t>。</w:t>
      </w:r>
    </w:p>
    <w:p>
      <w:pPr>
        <w:pStyle w:val="9"/>
        <w:adjustRightInd w:val="0"/>
        <w:snapToGrid w:val="0"/>
        <w:spacing w:before="0" w:after="0" w:line="240" w:lineRule="auto"/>
        <w:ind w:firstLine="442" w:firstLineChars="200"/>
        <w:outlineLvl w:val="1"/>
        <w:rPr>
          <w:rFonts w:hint="eastAsia" w:ascii="楷体" w:hAnsi="楷体" w:eastAsia="楷体" w:cs="楷体"/>
          <w:b/>
          <w:color w:val="000000"/>
          <w:kern w:val="0"/>
          <w:sz w:val="22"/>
          <w:szCs w:val="22"/>
          <w:lang w:val="en-US" w:eastAsia="zh-CN" w:bidi="ar"/>
        </w:rPr>
      </w:pPr>
      <w:bookmarkStart w:id="56" w:name="_Toc16021"/>
      <w:r>
        <w:rPr>
          <w:rFonts w:hint="eastAsia" w:ascii="楷体" w:hAnsi="楷体" w:eastAsia="楷体" w:cs="楷体"/>
          <w:b/>
          <w:color w:val="000000"/>
          <w:kern w:val="0"/>
          <w:sz w:val="22"/>
          <w:szCs w:val="22"/>
          <w:lang w:val="en-US" w:eastAsia="zh-CN" w:bidi="ar"/>
        </w:rPr>
        <w:t>9.2017届毕业生执业医师考试情况</w:t>
      </w:r>
      <w:bookmarkEnd w:id="56"/>
    </w:p>
    <w:tbl>
      <w:tblPr>
        <w:tblStyle w:val="7"/>
        <w:tblpPr w:leftFromText="180" w:rightFromText="180" w:vertAnchor="text" w:horzAnchor="page" w:tblpX="2296" w:tblpY="171"/>
        <w:tblOverlap w:val="never"/>
        <w:tblW w:w="8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1153"/>
        <w:gridCol w:w="1154"/>
        <w:gridCol w:w="1154"/>
        <w:gridCol w:w="1147"/>
        <w:gridCol w:w="1147"/>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154" w:type="dxa"/>
            <w:vAlign w:val="center"/>
          </w:tcPr>
          <w:p>
            <w:pPr>
              <w:widowControl w:val="0"/>
              <w:adjustRightInd w:val="0"/>
              <w:snapToGrid w:val="0"/>
              <w:spacing w:line="240" w:lineRule="auto"/>
              <w:jc w:val="center"/>
              <w:rPr>
                <w:rFonts w:hint="eastAsia" w:ascii="仿宋" w:hAnsi="仿宋" w:eastAsia="仿宋" w:cs="仿宋"/>
                <w:color w:val="000000"/>
                <w:spacing w:val="11"/>
                <w:sz w:val="21"/>
                <w:szCs w:val="21"/>
              </w:rPr>
            </w:pPr>
            <w:r>
              <w:rPr>
                <w:rFonts w:hint="eastAsia" w:ascii="仿宋" w:hAnsi="仿宋" w:eastAsia="仿宋" w:cs="仿宋"/>
                <w:color w:val="000000"/>
                <w:spacing w:val="11"/>
                <w:sz w:val="21"/>
                <w:szCs w:val="21"/>
              </w:rPr>
              <w:t>考试形式</w:t>
            </w:r>
          </w:p>
        </w:tc>
        <w:tc>
          <w:tcPr>
            <w:tcW w:w="1153" w:type="dxa"/>
            <w:vAlign w:val="center"/>
          </w:tcPr>
          <w:p>
            <w:pPr>
              <w:widowControl w:val="0"/>
              <w:adjustRightInd w:val="0"/>
              <w:snapToGrid w:val="0"/>
              <w:spacing w:line="240" w:lineRule="auto"/>
              <w:jc w:val="center"/>
              <w:rPr>
                <w:rFonts w:hint="eastAsia" w:ascii="仿宋" w:hAnsi="仿宋" w:eastAsia="仿宋" w:cs="仿宋"/>
                <w:color w:val="000000"/>
                <w:spacing w:val="11"/>
                <w:sz w:val="21"/>
                <w:szCs w:val="21"/>
              </w:rPr>
            </w:pPr>
            <w:r>
              <w:rPr>
                <w:rFonts w:hint="eastAsia" w:ascii="仿宋" w:hAnsi="仿宋" w:eastAsia="仿宋" w:cs="仿宋"/>
                <w:color w:val="000000"/>
                <w:spacing w:val="11"/>
                <w:sz w:val="21"/>
                <w:szCs w:val="21"/>
              </w:rPr>
              <w:t>参考人数</w:t>
            </w:r>
          </w:p>
        </w:tc>
        <w:tc>
          <w:tcPr>
            <w:tcW w:w="1154" w:type="dxa"/>
            <w:vAlign w:val="center"/>
          </w:tcPr>
          <w:p>
            <w:pPr>
              <w:widowControl w:val="0"/>
              <w:adjustRightInd w:val="0"/>
              <w:snapToGrid w:val="0"/>
              <w:spacing w:line="240" w:lineRule="auto"/>
              <w:jc w:val="center"/>
              <w:rPr>
                <w:rFonts w:hint="eastAsia" w:ascii="仿宋" w:hAnsi="仿宋" w:eastAsia="仿宋" w:cs="仿宋"/>
                <w:color w:val="000000"/>
                <w:spacing w:val="11"/>
                <w:sz w:val="21"/>
                <w:szCs w:val="21"/>
              </w:rPr>
            </w:pPr>
            <w:r>
              <w:rPr>
                <w:rFonts w:hint="eastAsia" w:ascii="仿宋" w:hAnsi="仿宋" w:eastAsia="仿宋" w:cs="仿宋"/>
                <w:color w:val="000000"/>
                <w:spacing w:val="11"/>
                <w:sz w:val="21"/>
                <w:szCs w:val="21"/>
              </w:rPr>
              <w:t>合格人数</w:t>
            </w:r>
          </w:p>
        </w:tc>
        <w:tc>
          <w:tcPr>
            <w:tcW w:w="1154" w:type="dxa"/>
            <w:vAlign w:val="center"/>
          </w:tcPr>
          <w:p>
            <w:pPr>
              <w:widowControl w:val="0"/>
              <w:adjustRightInd w:val="0"/>
              <w:snapToGrid w:val="0"/>
              <w:spacing w:line="240" w:lineRule="auto"/>
              <w:jc w:val="center"/>
              <w:rPr>
                <w:rFonts w:hint="eastAsia" w:ascii="仿宋" w:hAnsi="仿宋" w:eastAsia="仿宋" w:cs="仿宋"/>
                <w:color w:val="000000"/>
                <w:spacing w:val="11"/>
                <w:sz w:val="21"/>
                <w:szCs w:val="21"/>
              </w:rPr>
            </w:pPr>
            <w:r>
              <w:rPr>
                <w:rFonts w:hint="eastAsia" w:ascii="仿宋" w:hAnsi="仿宋" w:eastAsia="仿宋" w:cs="仿宋"/>
                <w:color w:val="000000"/>
                <w:spacing w:val="11"/>
                <w:sz w:val="21"/>
                <w:szCs w:val="21"/>
              </w:rPr>
              <w:t>合格率（%）</w:t>
            </w:r>
          </w:p>
        </w:tc>
        <w:tc>
          <w:tcPr>
            <w:tcW w:w="1147" w:type="dxa"/>
            <w:shd w:val="clear" w:color="auto" w:fill="D6DCE5" w:themeFill="text2" w:themeFillTint="32"/>
            <w:vAlign w:val="center"/>
          </w:tcPr>
          <w:p>
            <w:pPr>
              <w:widowControl w:val="0"/>
              <w:adjustRightInd w:val="0"/>
              <w:snapToGrid w:val="0"/>
              <w:spacing w:line="240" w:lineRule="auto"/>
              <w:jc w:val="center"/>
              <w:rPr>
                <w:rFonts w:hint="eastAsia" w:ascii="仿宋" w:hAnsi="仿宋" w:eastAsia="仿宋" w:cs="仿宋"/>
                <w:color w:val="000000"/>
                <w:spacing w:val="11"/>
                <w:sz w:val="21"/>
                <w:szCs w:val="21"/>
                <w:lang w:eastAsia="zh-CN"/>
              </w:rPr>
            </w:pPr>
            <w:r>
              <w:rPr>
                <w:rFonts w:hint="eastAsia" w:ascii="仿宋" w:hAnsi="仿宋" w:eastAsia="仿宋" w:cs="仿宋"/>
                <w:color w:val="000000"/>
                <w:spacing w:val="11"/>
                <w:sz w:val="21"/>
                <w:szCs w:val="21"/>
                <w:lang w:eastAsia="zh-CN"/>
              </w:rPr>
              <w:t>全国合格率（</w:t>
            </w:r>
            <w:r>
              <w:rPr>
                <w:rFonts w:hint="eastAsia" w:ascii="仿宋" w:hAnsi="仿宋" w:eastAsia="仿宋" w:cs="仿宋"/>
                <w:color w:val="000000"/>
                <w:spacing w:val="11"/>
                <w:sz w:val="21"/>
                <w:szCs w:val="21"/>
                <w:lang w:val="en-US" w:eastAsia="zh-CN"/>
              </w:rPr>
              <w:t>%</w:t>
            </w:r>
            <w:r>
              <w:rPr>
                <w:rFonts w:hint="eastAsia" w:ascii="仿宋" w:hAnsi="仿宋" w:eastAsia="仿宋" w:cs="仿宋"/>
                <w:color w:val="000000"/>
                <w:spacing w:val="11"/>
                <w:sz w:val="21"/>
                <w:szCs w:val="21"/>
                <w:lang w:eastAsia="zh-CN"/>
              </w:rPr>
              <w:t>）</w:t>
            </w:r>
          </w:p>
        </w:tc>
        <w:tc>
          <w:tcPr>
            <w:tcW w:w="1147" w:type="dxa"/>
            <w:vAlign w:val="center"/>
          </w:tcPr>
          <w:p>
            <w:pPr>
              <w:widowControl w:val="0"/>
              <w:adjustRightInd w:val="0"/>
              <w:snapToGrid w:val="0"/>
              <w:spacing w:line="240" w:lineRule="auto"/>
              <w:jc w:val="center"/>
              <w:rPr>
                <w:rFonts w:hint="eastAsia" w:ascii="仿宋" w:hAnsi="仿宋" w:eastAsia="仿宋" w:cs="仿宋"/>
                <w:color w:val="000000"/>
                <w:spacing w:val="11"/>
                <w:sz w:val="21"/>
                <w:szCs w:val="21"/>
                <w:lang w:eastAsia="zh-CN"/>
              </w:rPr>
            </w:pPr>
            <w:r>
              <w:rPr>
                <w:rFonts w:hint="eastAsia" w:ascii="仿宋" w:hAnsi="仿宋" w:eastAsia="仿宋" w:cs="仿宋"/>
                <w:color w:val="000000"/>
                <w:spacing w:val="11"/>
                <w:sz w:val="21"/>
                <w:szCs w:val="21"/>
                <w:lang w:eastAsia="zh-CN"/>
              </w:rPr>
              <w:t>总通过率（</w:t>
            </w:r>
            <w:r>
              <w:rPr>
                <w:rFonts w:hint="eastAsia" w:ascii="仿宋" w:hAnsi="仿宋" w:eastAsia="仿宋" w:cs="仿宋"/>
                <w:color w:val="000000"/>
                <w:spacing w:val="11"/>
                <w:sz w:val="21"/>
                <w:szCs w:val="21"/>
                <w:lang w:val="en-US" w:eastAsia="zh-CN"/>
              </w:rPr>
              <w:t>%</w:t>
            </w:r>
            <w:r>
              <w:rPr>
                <w:rFonts w:hint="eastAsia" w:ascii="仿宋" w:hAnsi="仿宋" w:eastAsia="仿宋" w:cs="仿宋"/>
                <w:color w:val="000000"/>
                <w:spacing w:val="11"/>
                <w:sz w:val="21"/>
                <w:szCs w:val="21"/>
                <w:lang w:eastAsia="zh-CN"/>
              </w:rPr>
              <w:t>）</w:t>
            </w:r>
          </w:p>
        </w:tc>
        <w:tc>
          <w:tcPr>
            <w:tcW w:w="1136" w:type="dxa"/>
            <w:shd w:val="clear" w:color="auto" w:fill="D6DCE5" w:themeFill="text2" w:themeFillTint="32"/>
            <w:vAlign w:val="center"/>
          </w:tcPr>
          <w:p>
            <w:pPr>
              <w:widowControl w:val="0"/>
              <w:adjustRightInd w:val="0"/>
              <w:snapToGrid w:val="0"/>
              <w:spacing w:line="240" w:lineRule="auto"/>
              <w:jc w:val="center"/>
              <w:rPr>
                <w:rFonts w:hint="eastAsia" w:ascii="仿宋" w:hAnsi="仿宋" w:eastAsia="仿宋" w:cs="仿宋"/>
                <w:color w:val="000000"/>
                <w:spacing w:val="11"/>
                <w:sz w:val="21"/>
                <w:szCs w:val="21"/>
                <w:lang w:eastAsia="zh-CN"/>
              </w:rPr>
            </w:pPr>
            <w:r>
              <w:rPr>
                <w:rFonts w:hint="eastAsia" w:ascii="仿宋" w:hAnsi="仿宋" w:eastAsia="仿宋" w:cs="仿宋"/>
                <w:color w:val="000000"/>
                <w:spacing w:val="11"/>
                <w:sz w:val="21"/>
                <w:szCs w:val="21"/>
                <w:lang w:eastAsia="zh-CN"/>
              </w:rPr>
              <w:t>全国总通过率（</w:t>
            </w:r>
            <w:r>
              <w:rPr>
                <w:rFonts w:hint="eastAsia" w:ascii="仿宋" w:hAnsi="仿宋" w:eastAsia="仿宋" w:cs="仿宋"/>
                <w:color w:val="000000"/>
                <w:spacing w:val="11"/>
                <w:sz w:val="21"/>
                <w:szCs w:val="21"/>
                <w:lang w:val="en-US" w:eastAsia="zh-CN"/>
              </w:rPr>
              <w:t>%</w:t>
            </w:r>
            <w:r>
              <w:rPr>
                <w:rFonts w:hint="eastAsia" w:ascii="仿宋" w:hAnsi="仿宋" w:eastAsia="仿宋" w:cs="仿宋"/>
                <w:color w:val="000000"/>
                <w:spacing w:val="11"/>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154" w:type="dxa"/>
            <w:vAlign w:val="center"/>
          </w:tcPr>
          <w:p>
            <w:pPr>
              <w:widowControl w:val="0"/>
              <w:adjustRightInd w:val="0"/>
              <w:snapToGrid w:val="0"/>
              <w:spacing w:line="240" w:lineRule="auto"/>
              <w:jc w:val="center"/>
              <w:rPr>
                <w:rFonts w:hint="eastAsia" w:ascii="仿宋" w:hAnsi="仿宋" w:eastAsia="仿宋" w:cs="仿宋"/>
                <w:color w:val="000000"/>
                <w:spacing w:val="11"/>
                <w:sz w:val="21"/>
                <w:szCs w:val="21"/>
              </w:rPr>
            </w:pPr>
            <w:r>
              <w:rPr>
                <w:rFonts w:hint="eastAsia" w:ascii="仿宋" w:hAnsi="仿宋" w:eastAsia="仿宋" w:cs="仿宋"/>
                <w:color w:val="000000"/>
                <w:spacing w:val="11"/>
                <w:sz w:val="21"/>
                <w:szCs w:val="21"/>
              </w:rPr>
              <w:t>技能考试</w:t>
            </w:r>
          </w:p>
        </w:tc>
        <w:tc>
          <w:tcPr>
            <w:tcW w:w="1153" w:type="dxa"/>
            <w:vAlign w:val="center"/>
          </w:tcPr>
          <w:p>
            <w:pPr>
              <w:widowControl w:val="0"/>
              <w:adjustRightInd w:val="0"/>
              <w:snapToGrid w:val="0"/>
              <w:spacing w:line="240" w:lineRule="auto"/>
              <w:jc w:val="center"/>
              <w:rPr>
                <w:rFonts w:hint="eastAsia" w:ascii="仿宋" w:hAnsi="仿宋" w:eastAsia="仿宋" w:cs="仿宋"/>
                <w:color w:val="000000"/>
                <w:spacing w:val="11"/>
                <w:sz w:val="21"/>
                <w:szCs w:val="21"/>
                <w:lang w:val="en-US" w:eastAsia="zh-CN"/>
              </w:rPr>
            </w:pPr>
            <w:r>
              <w:rPr>
                <w:rFonts w:hint="eastAsia" w:ascii="仿宋" w:hAnsi="仿宋" w:eastAsia="仿宋" w:cs="仿宋"/>
                <w:color w:val="000000"/>
                <w:spacing w:val="11"/>
                <w:sz w:val="21"/>
                <w:szCs w:val="21"/>
                <w:lang w:val="en-US" w:eastAsia="zh-CN"/>
              </w:rPr>
              <w:t>29</w:t>
            </w:r>
          </w:p>
        </w:tc>
        <w:tc>
          <w:tcPr>
            <w:tcW w:w="1154" w:type="dxa"/>
            <w:vAlign w:val="center"/>
          </w:tcPr>
          <w:p>
            <w:pPr>
              <w:widowControl w:val="0"/>
              <w:adjustRightInd w:val="0"/>
              <w:snapToGrid w:val="0"/>
              <w:spacing w:line="240" w:lineRule="auto"/>
              <w:jc w:val="center"/>
              <w:rPr>
                <w:rFonts w:hint="eastAsia" w:ascii="仿宋" w:hAnsi="仿宋" w:eastAsia="仿宋" w:cs="仿宋"/>
                <w:color w:val="000000"/>
                <w:spacing w:val="11"/>
                <w:sz w:val="21"/>
                <w:szCs w:val="21"/>
                <w:lang w:val="en-US" w:eastAsia="zh-CN"/>
              </w:rPr>
            </w:pPr>
            <w:r>
              <w:rPr>
                <w:rFonts w:hint="eastAsia" w:ascii="仿宋" w:hAnsi="仿宋" w:eastAsia="仿宋" w:cs="仿宋"/>
                <w:color w:val="000000"/>
                <w:spacing w:val="11"/>
                <w:sz w:val="21"/>
                <w:szCs w:val="21"/>
                <w:lang w:val="en-US" w:eastAsia="zh-CN"/>
              </w:rPr>
              <w:t>23</w:t>
            </w:r>
          </w:p>
        </w:tc>
        <w:tc>
          <w:tcPr>
            <w:tcW w:w="1154" w:type="dxa"/>
            <w:vAlign w:val="center"/>
          </w:tcPr>
          <w:p>
            <w:pPr>
              <w:widowControl w:val="0"/>
              <w:adjustRightInd w:val="0"/>
              <w:snapToGrid w:val="0"/>
              <w:spacing w:line="240" w:lineRule="auto"/>
              <w:jc w:val="center"/>
              <w:rPr>
                <w:rFonts w:hint="eastAsia" w:ascii="仿宋" w:hAnsi="仿宋" w:eastAsia="仿宋" w:cs="仿宋"/>
                <w:color w:val="000000"/>
                <w:spacing w:val="11"/>
                <w:sz w:val="21"/>
                <w:szCs w:val="21"/>
              </w:rPr>
            </w:pPr>
            <w:r>
              <w:rPr>
                <w:rFonts w:hint="eastAsia" w:ascii="仿宋" w:hAnsi="仿宋" w:eastAsia="仿宋" w:cs="仿宋"/>
                <w:color w:val="000000"/>
                <w:spacing w:val="11"/>
                <w:sz w:val="21"/>
                <w:szCs w:val="21"/>
                <w:lang w:val="en-US" w:eastAsia="zh-CN"/>
              </w:rPr>
              <w:t>79.31</w:t>
            </w:r>
          </w:p>
        </w:tc>
        <w:tc>
          <w:tcPr>
            <w:tcW w:w="1147" w:type="dxa"/>
            <w:shd w:val="clear" w:color="auto" w:fill="D6DCE5" w:themeFill="text2" w:themeFillTint="32"/>
            <w:vAlign w:val="center"/>
          </w:tcPr>
          <w:p>
            <w:pPr>
              <w:widowControl w:val="0"/>
              <w:adjustRightInd w:val="0"/>
              <w:snapToGrid w:val="0"/>
              <w:spacing w:line="240" w:lineRule="auto"/>
              <w:jc w:val="center"/>
              <w:rPr>
                <w:rFonts w:hint="eastAsia" w:ascii="仿宋" w:hAnsi="仿宋" w:eastAsia="仿宋" w:cs="仿宋"/>
                <w:color w:val="000000"/>
                <w:spacing w:val="11"/>
                <w:sz w:val="21"/>
                <w:szCs w:val="21"/>
                <w:lang w:val="en-US" w:eastAsia="zh-CN"/>
              </w:rPr>
            </w:pPr>
            <w:r>
              <w:rPr>
                <w:rFonts w:hint="eastAsia" w:ascii="仿宋" w:hAnsi="仿宋" w:eastAsia="仿宋" w:cs="仿宋"/>
                <w:color w:val="000000"/>
                <w:spacing w:val="11"/>
                <w:sz w:val="21"/>
                <w:szCs w:val="21"/>
                <w:lang w:val="en-US" w:eastAsia="zh-CN"/>
              </w:rPr>
              <w:t>91.94</w:t>
            </w:r>
          </w:p>
        </w:tc>
        <w:tc>
          <w:tcPr>
            <w:tcW w:w="1147" w:type="dxa"/>
            <w:vMerge w:val="restart"/>
            <w:vAlign w:val="center"/>
          </w:tcPr>
          <w:p>
            <w:pPr>
              <w:widowControl w:val="0"/>
              <w:adjustRightInd w:val="0"/>
              <w:snapToGrid w:val="0"/>
              <w:spacing w:line="240" w:lineRule="auto"/>
              <w:jc w:val="center"/>
              <w:rPr>
                <w:rFonts w:hint="eastAsia" w:ascii="仿宋" w:hAnsi="仿宋" w:eastAsia="仿宋" w:cs="仿宋"/>
                <w:color w:val="000000"/>
                <w:spacing w:val="11"/>
                <w:sz w:val="21"/>
                <w:szCs w:val="21"/>
                <w:lang w:val="en-US" w:eastAsia="zh-CN"/>
              </w:rPr>
            </w:pPr>
            <w:r>
              <w:rPr>
                <w:rFonts w:hint="eastAsia" w:ascii="仿宋" w:hAnsi="仿宋" w:eastAsia="仿宋" w:cs="仿宋"/>
                <w:color w:val="000000"/>
                <w:spacing w:val="11"/>
                <w:sz w:val="21"/>
                <w:szCs w:val="21"/>
                <w:lang w:eastAsia="zh-CN"/>
              </w:rPr>
              <w:t>4</w:t>
            </w:r>
            <w:r>
              <w:rPr>
                <w:rFonts w:hint="eastAsia" w:ascii="仿宋" w:hAnsi="仿宋" w:eastAsia="仿宋" w:cs="仿宋"/>
                <w:color w:val="000000"/>
                <w:spacing w:val="11"/>
                <w:sz w:val="21"/>
                <w:szCs w:val="21"/>
                <w:lang w:val="en-US" w:eastAsia="zh-CN"/>
              </w:rPr>
              <w:t>8.28</w:t>
            </w:r>
          </w:p>
        </w:tc>
        <w:tc>
          <w:tcPr>
            <w:tcW w:w="1136" w:type="dxa"/>
            <w:vMerge w:val="restart"/>
            <w:shd w:val="clear" w:color="auto" w:fill="D6DCE5" w:themeFill="text2" w:themeFillTint="32"/>
            <w:vAlign w:val="center"/>
          </w:tcPr>
          <w:p>
            <w:pPr>
              <w:widowControl w:val="0"/>
              <w:adjustRightInd w:val="0"/>
              <w:snapToGrid w:val="0"/>
              <w:spacing w:line="240" w:lineRule="auto"/>
              <w:jc w:val="center"/>
              <w:rPr>
                <w:rFonts w:hint="eastAsia" w:ascii="仿宋" w:hAnsi="仿宋" w:eastAsia="仿宋" w:cs="仿宋"/>
                <w:color w:val="000000"/>
                <w:spacing w:val="11"/>
                <w:sz w:val="21"/>
                <w:szCs w:val="21"/>
                <w:lang w:val="en-US" w:eastAsia="zh-CN"/>
              </w:rPr>
            </w:pPr>
            <w:r>
              <w:rPr>
                <w:rFonts w:hint="eastAsia" w:ascii="仿宋" w:hAnsi="仿宋" w:eastAsia="仿宋" w:cs="仿宋"/>
                <w:color w:val="000000"/>
                <w:spacing w:val="11"/>
                <w:sz w:val="21"/>
                <w:szCs w:val="21"/>
                <w:lang w:val="en-US" w:eastAsia="zh-CN"/>
              </w:rPr>
              <w:t>70.38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trPr>
        <w:tc>
          <w:tcPr>
            <w:tcW w:w="1154" w:type="dxa"/>
            <w:vAlign w:val="center"/>
          </w:tcPr>
          <w:p>
            <w:pPr>
              <w:widowControl w:val="0"/>
              <w:adjustRightInd w:val="0"/>
              <w:snapToGrid w:val="0"/>
              <w:spacing w:line="240" w:lineRule="auto"/>
              <w:jc w:val="center"/>
              <w:rPr>
                <w:rFonts w:hint="eastAsia" w:ascii="仿宋" w:hAnsi="仿宋" w:eastAsia="仿宋" w:cs="仿宋"/>
                <w:color w:val="000000"/>
                <w:spacing w:val="11"/>
                <w:sz w:val="21"/>
                <w:szCs w:val="21"/>
              </w:rPr>
            </w:pPr>
            <w:r>
              <w:rPr>
                <w:rFonts w:hint="eastAsia" w:ascii="仿宋" w:hAnsi="仿宋" w:eastAsia="仿宋" w:cs="仿宋"/>
                <w:color w:val="000000"/>
                <w:spacing w:val="11"/>
                <w:sz w:val="21"/>
                <w:szCs w:val="21"/>
              </w:rPr>
              <w:t>理论考试</w:t>
            </w:r>
          </w:p>
        </w:tc>
        <w:tc>
          <w:tcPr>
            <w:tcW w:w="1153" w:type="dxa"/>
            <w:vAlign w:val="center"/>
          </w:tcPr>
          <w:p>
            <w:pPr>
              <w:widowControl w:val="0"/>
              <w:adjustRightInd w:val="0"/>
              <w:snapToGrid w:val="0"/>
              <w:spacing w:line="240" w:lineRule="auto"/>
              <w:jc w:val="center"/>
              <w:rPr>
                <w:rFonts w:hint="eastAsia" w:ascii="仿宋" w:hAnsi="仿宋" w:eastAsia="仿宋" w:cs="仿宋"/>
                <w:color w:val="000000"/>
                <w:spacing w:val="11"/>
                <w:sz w:val="21"/>
                <w:szCs w:val="21"/>
                <w:lang w:val="en-US" w:eastAsia="zh-CN"/>
              </w:rPr>
            </w:pPr>
            <w:r>
              <w:rPr>
                <w:rFonts w:hint="eastAsia" w:ascii="仿宋" w:hAnsi="仿宋" w:eastAsia="仿宋" w:cs="仿宋"/>
                <w:color w:val="000000"/>
                <w:spacing w:val="11"/>
                <w:sz w:val="21"/>
                <w:szCs w:val="21"/>
                <w:lang w:val="en-US" w:eastAsia="zh-CN"/>
              </w:rPr>
              <w:t>23</w:t>
            </w:r>
          </w:p>
        </w:tc>
        <w:tc>
          <w:tcPr>
            <w:tcW w:w="1154" w:type="dxa"/>
            <w:vAlign w:val="center"/>
          </w:tcPr>
          <w:p>
            <w:pPr>
              <w:widowControl w:val="0"/>
              <w:adjustRightInd w:val="0"/>
              <w:snapToGrid w:val="0"/>
              <w:spacing w:line="240" w:lineRule="auto"/>
              <w:jc w:val="center"/>
              <w:rPr>
                <w:rFonts w:hint="eastAsia" w:ascii="仿宋" w:hAnsi="仿宋" w:eastAsia="仿宋" w:cs="仿宋"/>
                <w:color w:val="000000"/>
                <w:spacing w:val="11"/>
                <w:sz w:val="21"/>
                <w:szCs w:val="21"/>
                <w:lang w:val="en-US" w:eastAsia="zh-CN"/>
              </w:rPr>
            </w:pPr>
            <w:r>
              <w:rPr>
                <w:rFonts w:hint="eastAsia" w:ascii="仿宋" w:hAnsi="仿宋" w:eastAsia="仿宋" w:cs="仿宋"/>
                <w:color w:val="000000"/>
                <w:spacing w:val="11"/>
                <w:sz w:val="21"/>
                <w:szCs w:val="21"/>
                <w:lang w:val="en-US" w:eastAsia="zh-CN"/>
              </w:rPr>
              <w:t>14</w:t>
            </w:r>
          </w:p>
        </w:tc>
        <w:tc>
          <w:tcPr>
            <w:tcW w:w="1154" w:type="dxa"/>
            <w:vAlign w:val="center"/>
          </w:tcPr>
          <w:p>
            <w:pPr>
              <w:widowControl w:val="0"/>
              <w:adjustRightInd w:val="0"/>
              <w:snapToGrid w:val="0"/>
              <w:spacing w:line="240" w:lineRule="auto"/>
              <w:jc w:val="center"/>
              <w:rPr>
                <w:rFonts w:hint="eastAsia" w:ascii="仿宋" w:hAnsi="仿宋" w:eastAsia="仿宋" w:cs="仿宋"/>
                <w:color w:val="000000"/>
                <w:spacing w:val="11"/>
                <w:sz w:val="21"/>
                <w:szCs w:val="21"/>
              </w:rPr>
            </w:pPr>
            <w:r>
              <w:rPr>
                <w:rFonts w:hint="eastAsia" w:ascii="仿宋" w:hAnsi="仿宋" w:eastAsia="仿宋" w:cs="仿宋"/>
                <w:color w:val="000000"/>
                <w:spacing w:val="11"/>
                <w:sz w:val="21"/>
                <w:szCs w:val="21"/>
                <w:lang w:val="en-US" w:eastAsia="zh-CN"/>
              </w:rPr>
              <w:t>60</w:t>
            </w:r>
            <w:r>
              <w:rPr>
                <w:rFonts w:hint="eastAsia" w:ascii="仿宋" w:hAnsi="仿宋" w:eastAsia="仿宋" w:cs="仿宋"/>
                <w:color w:val="000000"/>
                <w:spacing w:val="11"/>
                <w:sz w:val="21"/>
                <w:szCs w:val="21"/>
              </w:rPr>
              <w:t>.87</w:t>
            </w:r>
          </w:p>
        </w:tc>
        <w:tc>
          <w:tcPr>
            <w:tcW w:w="1147" w:type="dxa"/>
            <w:shd w:val="clear" w:color="auto" w:fill="D6DCE5" w:themeFill="text2" w:themeFillTint="32"/>
            <w:vAlign w:val="center"/>
          </w:tcPr>
          <w:p>
            <w:pPr>
              <w:widowControl w:val="0"/>
              <w:adjustRightInd w:val="0"/>
              <w:snapToGrid w:val="0"/>
              <w:spacing w:line="240" w:lineRule="auto"/>
              <w:jc w:val="center"/>
              <w:rPr>
                <w:rFonts w:hint="eastAsia" w:ascii="仿宋" w:hAnsi="仿宋" w:eastAsia="仿宋" w:cs="仿宋"/>
                <w:color w:val="000000"/>
                <w:spacing w:val="11"/>
                <w:sz w:val="21"/>
                <w:szCs w:val="21"/>
                <w:lang w:val="en-US" w:eastAsia="zh-CN"/>
              </w:rPr>
            </w:pPr>
            <w:r>
              <w:rPr>
                <w:rFonts w:hint="eastAsia" w:ascii="仿宋" w:hAnsi="仿宋" w:eastAsia="仿宋" w:cs="仿宋"/>
                <w:color w:val="000000"/>
                <w:spacing w:val="11"/>
                <w:sz w:val="21"/>
                <w:szCs w:val="21"/>
                <w:lang w:val="en-US" w:eastAsia="zh-CN"/>
              </w:rPr>
              <w:t>76.89</w:t>
            </w:r>
          </w:p>
        </w:tc>
        <w:tc>
          <w:tcPr>
            <w:tcW w:w="1147" w:type="dxa"/>
            <w:vMerge w:val="continue"/>
            <w:vAlign w:val="center"/>
          </w:tcPr>
          <w:p>
            <w:pPr>
              <w:widowControl w:val="0"/>
              <w:adjustRightInd w:val="0"/>
              <w:snapToGrid w:val="0"/>
              <w:spacing w:line="240" w:lineRule="auto"/>
              <w:jc w:val="center"/>
              <w:rPr>
                <w:rFonts w:hint="eastAsia" w:ascii="仿宋" w:hAnsi="仿宋" w:eastAsia="仿宋" w:cs="仿宋"/>
                <w:color w:val="000000"/>
                <w:spacing w:val="11"/>
                <w:lang w:val="en-US"/>
              </w:rPr>
            </w:pPr>
          </w:p>
        </w:tc>
        <w:tc>
          <w:tcPr>
            <w:tcW w:w="1136" w:type="dxa"/>
            <w:vMerge w:val="continue"/>
            <w:shd w:val="clear" w:color="auto" w:fill="D6DCE5" w:themeFill="text2" w:themeFillTint="32"/>
            <w:vAlign w:val="center"/>
          </w:tcPr>
          <w:p>
            <w:pPr>
              <w:widowControl w:val="0"/>
              <w:adjustRightInd w:val="0"/>
              <w:snapToGrid w:val="0"/>
              <w:spacing w:line="240" w:lineRule="auto"/>
              <w:jc w:val="center"/>
              <w:rPr>
                <w:rFonts w:hint="eastAsia" w:ascii="仿宋" w:hAnsi="仿宋" w:eastAsia="仿宋" w:cs="仿宋"/>
                <w:color w:val="000000"/>
                <w:spacing w:val="11"/>
                <w:lang w:val="en-US"/>
              </w:rPr>
            </w:pPr>
          </w:p>
        </w:tc>
      </w:tr>
    </w:tbl>
    <w:p>
      <w:pPr>
        <w:pStyle w:val="9"/>
        <w:adjustRightInd w:val="0"/>
        <w:snapToGrid w:val="0"/>
        <w:spacing w:before="0" w:after="0" w:line="240" w:lineRule="auto"/>
        <w:ind w:firstLine="420" w:firstLineChars="200"/>
        <w:rPr>
          <w:rFonts w:hint="eastAsia" w:ascii="宋体" w:hAnsi="宋体" w:eastAsia="宋体" w:cs="宋体"/>
          <w:color w:val="000000"/>
          <w:kern w:val="0"/>
          <w:sz w:val="21"/>
          <w:szCs w:val="21"/>
          <w:lang w:val="en-US" w:eastAsia="zh-CN" w:bidi="ar"/>
        </w:rPr>
      </w:pPr>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据统计，目前临床医学本科毕业生持有执业医师资格证情况：2017届：75.00% ；2018届：63.16%。</w:t>
      </w:r>
    </w:p>
    <w:p>
      <w:pPr>
        <w:pStyle w:val="9"/>
        <w:numPr>
          <w:ilvl w:val="0"/>
          <w:numId w:val="6"/>
        </w:numPr>
        <w:adjustRightInd w:val="0"/>
        <w:snapToGrid w:val="0"/>
        <w:spacing w:before="0" w:after="0" w:line="360" w:lineRule="auto"/>
        <w:ind w:firstLine="442" w:firstLineChars="200"/>
        <w:outlineLvl w:val="1"/>
        <w:rPr>
          <w:rFonts w:hint="eastAsia" w:ascii="楷体" w:hAnsi="楷体" w:eastAsia="楷体" w:cs="楷体"/>
          <w:b/>
          <w:color w:val="000000"/>
          <w:kern w:val="0"/>
          <w:sz w:val="22"/>
          <w:szCs w:val="22"/>
          <w:lang w:val="en-US" w:eastAsia="zh-CN" w:bidi="ar"/>
        </w:rPr>
      </w:pPr>
      <w:bookmarkStart w:id="57" w:name="_Toc21598"/>
      <w:r>
        <w:rPr>
          <w:rFonts w:hint="eastAsia" w:ascii="楷体" w:hAnsi="楷体" w:eastAsia="楷体" w:cs="楷体"/>
          <w:b/>
          <w:color w:val="000000"/>
          <w:kern w:val="0"/>
          <w:sz w:val="22"/>
          <w:szCs w:val="22"/>
          <w:lang w:val="en-US" w:eastAsia="zh-CN" w:bidi="ar"/>
        </w:rPr>
        <w:t>实验教学条件</w:t>
      </w:r>
      <w:bookmarkEnd w:id="57"/>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医学院设立中心实验室作为实验教学运转中心，对实验资源进行统筹管理。实验室总面积约7200 m2，仪器设备3000余台套，固定资产总值3000余万元, 实验教师11人。下设基础医学实验教学中心、口腔医学实验教学中心、护理技能实训中心三大分中心，以保证医学实验教学、技能训练的完成。</w:t>
      </w:r>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临床技能中心设在附属医院，面积1000平方米，设有示教室、急诊实训室、内科实训室、外科综合实训室、模拟ICU、SP室、妇儿实训室、护理实训室。设备价值600多万元。</w:t>
      </w:r>
    </w:p>
    <w:p>
      <w:pPr>
        <w:pStyle w:val="9"/>
        <w:numPr>
          <w:ilvl w:val="0"/>
          <w:numId w:val="6"/>
        </w:numPr>
        <w:adjustRightInd w:val="0"/>
        <w:snapToGrid w:val="0"/>
        <w:spacing w:before="0" w:after="0" w:line="360" w:lineRule="auto"/>
        <w:ind w:left="0" w:leftChars="0" w:firstLine="442" w:firstLineChars="200"/>
        <w:outlineLvl w:val="1"/>
        <w:rPr>
          <w:rFonts w:hint="eastAsia" w:ascii="楷体" w:hAnsi="楷体" w:eastAsia="楷体" w:cs="楷体"/>
          <w:b/>
          <w:color w:val="000000"/>
          <w:kern w:val="0"/>
          <w:sz w:val="22"/>
          <w:szCs w:val="22"/>
          <w:lang w:val="en-US" w:eastAsia="zh-CN" w:bidi="ar"/>
        </w:rPr>
      </w:pPr>
      <w:bookmarkStart w:id="58" w:name="_Toc19559"/>
      <w:r>
        <w:rPr>
          <w:rFonts w:hint="eastAsia" w:ascii="楷体" w:hAnsi="楷体" w:eastAsia="楷体" w:cs="楷体"/>
          <w:b/>
          <w:color w:val="000000"/>
          <w:kern w:val="0"/>
          <w:sz w:val="22"/>
          <w:szCs w:val="22"/>
          <w:lang w:val="en-US" w:eastAsia="zh-CN" w:bidi="ar"/>
        </w:rPr>
        <w:t>临床教学基地情况</w:t>
      </w:r>
      <w:bookmarkEnd w:id="58"/>
      <w:r>
        <w:rPr>
          <w:rFonts w:hint="eastAsia" w:ascii="楷体" w:hAnsi="楷体" w:eastAsia="楷体" w:cs="楷体"/>
          <w:b/>
          <w:color w:val="000000"/>
          <w:kern w:val="0"/>
          <w:sz w:val="22"/>
          <w:szCs w:val="22"/>
          <w:lang w:val="en-US" w:eastAsia="zh-CN" w:bidi="ar"/>
        </w:rPr>
        <w:t xml:space="preserve"> </w:t>
      </w:r>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形成了由直属附属医院、社区卫生服务中心（成都市金牛区驷马桥社区卫生服务中心）共同构成的临床教学基地。</w:t>
      </w:r>
    </w:p>
    <w:p>
      <w:pPr>
        <w:pStyle w:val="9"/>
        <w:numPr>
          <w:ilvl w:val="0"/>
          <w:numId w:val="6"/>
        </w:numPr>
        <w:adjustRightInd w:val="0"/>
        <w:snapToGrid w:val="0"/>
        <w:spacing w:before="0" w:after="0" w:line="360" w:lineRule="auto"/>
        <w:ind w:left="0" w:leftChars="0" w:firstLine="442" w:firstLineChars="200"/>
        <w:outlineLvl w:val="1"/>
        <w:rPr>
          <w:rFonts w:hint="eastAsia" w:ascii="楷体" w:hAnsi="楷体" w:eastAsia="楷体" w:cs="楷体"/>
          <w:b/>
          <w:color w:val="000000"/>
          <w:kern w:val="0"/>
          <w:sz w:val="22"/>
          <w:szCs w:val="22"/>
          <w:lang w:val="en-US" w:eastAsia="zh-CN" w:bidi="ar"/>
        </w:rPr>
      </w:pPr>
      <w:bookmarkStart w:id="59" w:name="_Toc30483"/>
      <w:r>
        <w:rPr>
          <w:rFonts w:hint="eastAsia" w:ascii="楷体" w:hAnsi="楷体" w:eastAsia="楷体" w:cs="楷体"/>
          <w:b/>
          <w:color w:val="000000"/>
          <w:kern w:val="0"/>
          <w:sz w:val="22"/>
          <w:szCs w:val="22"/>
          <w:lang w:val="en-US" w:eastAsia="zh-CN" w:bidi="ar"/>
        </w:rPr>
        <w:t>教师科研成果</w:t>
      </w:r>
      <w:bookmarkEnd w:id="59"/>
    </w:p>
    <w:p>
      <w:pPr>
        <w:pStyle w:val="9"/>
        <w:adjustRightInd w:val="0"/>
        <w:snapToGrid w:val="0"/>
        <w:spacing w:before="0" w:after="0" w:line="360" w:lineRule="auto"/>
        <w:ind w:firstLine="420" w:firstLineChars="200"/>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近年来，医学院教师承担各级各类科研项目70余项，发表科研论文400余篇，出版学术著作（含教材）60余部。其中，获得国家自然科学基金资助12项；教育部及省科技厅项目17项。</w:t>
      </w:r>
    </w:p>
    <w:p>
      <w:pPr>
        <w:pStyle w:val="9"/>
        <w:numPr>
          <w:ilvl w:val="0"/>
          <w:numId w:val="6"/>
        </w:numPr>
        <w:adjustRightInd w:val="0"/>
        <w:snapToGrid w:val="0"/>
        <w:spacing w:before="0" w:after="0" w:line="360" w:lineRule="auto"/>
        <w:ind w:left="0" w:leftChars="0" w:firstLine="442" w:firstLineChars="200"/>
        <w:outlineLvl w:val="1"/>
        <w:rPr>
          <w:rFonts w:hint="eastAsia" w:ascii="楷体" w:hAnsi="楷体" w:eastAsia="楷体" w:cs="楷体"/>
          <w:b/>
          <w:color w:val="000000"/>
          <w:kern w:val="0"/>
          <w:sz w:val="22"/>
          <w:szCs w:val="22"/>
          <w:lang w:val="en-US" w:eastAsia="zh-CN" w:bidi="ar"/>
        </w:rPr>
      </w:pPr>
      <w:bookmarkStart w:id="60" w:name="_Toc16874"/>
      <w:bookmarkStart w:id="61" w:name="page34"/>
      <w:r>
        <w:rPr>
          <w:rFonts w:hint="eastAsia" w:ascii="楷体" w:hAnsi="楷体" w:eastAsia="楷体" w:cs="楷体"/>
          <w:b/>
          <w:color w:val="000000"/>
          <w:kern w:val="0"/>
          <w:sz w:val="22"/>
          <w:szCs w:val="22"/>
          <w:lang w:val="en-US" w:eastAsia="zh-CN" w:bidi="ar"/>
        </w:rPr>
        <w:t>教师教学成果</w:t>
      </w:r>
      <w:bookmarkEnd w:id="60"/>
    </w:p>
    <w:bookmarkEnd w:id="61"/>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2014年护理学获得</w:t>
      </w:r>
      <w:r>
        <w:rPr>
          <w:rFonts w:hint="eastAsia" w:ascii="宋体"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成都市重点学科”、</w:t>
      </w:r>
      <w:r>
        <w:rPr>
          <w:rFonts w:hint="eastAsia" w:ascii="宋体"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校级品牌专业”；拥有教育部产学合作协同育人项目7项；各级教改项目70余项，其中，教育部8项，省级项目5项；精品课15门, 其中省级2门，市级2门；校级MOOCS 2门、翻转课堂8门；获得校级教学成果类奖项8项，教师在各级教学竞赛中获奖10余项。</w:t>
      </w:r>
    </w:p>
    <w:p>
      <w:pPr>
        <w:pStyle w:val="9"/>
        <w:numPr>
          <w:ilvl w:val="0"/>
          <w:numId w:val="6"/>
        </w:numPr>
        <w:adjustRightInd w:val="0"/>
        <w:snapToGrid w:val="0"/>
        <w:spacing w:before="0" w:after="0" w:line="360" w:lineRule="auto"/>
        <w:ind w:left="0" w:leftChars="0" w:firstLine="442" w:firstLineChars="200"/>
        <w:outlineLvl w:val="1"/>
        <w:rPr>
          <w:rFonts w:hint="eastAsia" w:ascii="楷体" w:hAnsi="楷体" w:eastAsia="楷体" w:cs="楷体"/>
          <w:b/>
          <w:color w:val="000000"/>
          <w:kern w:val="0"/>
          <w:sz w:val="22"/>
          <w:szCs w:val="22"/>
          <w:lang w:val="en-US" w:eastAsia="zh-CN" w:bidi="ar"/>
        </w:rPr>
      </w:pPr>
      <w:bookmarkStart w:id="62" w:name="_Toc14148"/>
      <w:r>
        <w:rPr>
          <w:rFonts w:hint="eastAsia" w:ascii="楷体" w:hAnsi="楷体" w:eastAsia="楷体" w:cs="楷体"/>
          <w:b/>
          <w:color w:val="000000"/>
          <w:kern w:val="0"/>
          <w:sz w:val="22"/>
          <w:szCs w:val="22"/>
          <w:lang w:val="en-US" w:eastAsia="zh-CN" w:bidi="ar"/>
        </w:rPr>
        <w:t>学生科研成果</w:t>
      </w:r>
      <w:bookmarkEnd w:id="62"/>
    </w:p>
    <w:p>
      <w:pPr>
        <w:pStyle w:val="9"/>
        <w:adjustRightInd w:val="0"/>
        <w:snapToGrid w:val="0"/>
        <w:spacing w:before="0" w:after="0" w:line="360" w:lineRule="auto"/>
        <w:ind w:firstLine="420" w:firstLineChars="200"/>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学生发表论文30篇；获得专利授权29项；参与大学生创新计划项目73项：其中国家级3项，省级7项，校级63项；省级、国家级获奖60项。</w:t>
      </w:r>
    </w:p>
    <w:p>
      <w:pPr>
        <w:pStyle w:val="9"/>
        <w:numPr>
          <w:ilvl w:val="0"/>
          <w:numId w:val="6"/>
        </w:numPr>
        <w:adjustRightInd w:val="0"/>
        <w:snapToGrid w:val="0"/>
        <w:spacing w:before="0" w:after="0" w:line="360" w:lineRule="auto"/>
        <w:ind w:left="0" w:leftChars="0" w:firstLine="442" w:firstLineChars="200"/>
        <w:outlineLvl w:val="1"/>
        <w:rPr>
          <w:rFonts w:hint="eastAsia" w:ascii="楷体" w:hAnsi="楷体" w:eastAsia="楷体" w:cs="楷体"/>
          <w:b/>
          <w:color w:val="000000"/>
          <w:kern w:val="0"/>
          <w:sz w:val="22"/>
          <w:szCs w:val="22"/>
          <w:lang w:val="en-US" w:eastAsia="zh-CN" w:bidi="ar"/>
        </w:rPr>
      </w:pPr>
      <w:bookmarkStart w:id="63" w:name="_Toc10870"/>
      <w:bookmarkStart w:id="64" w:name="_Toc29256"/>
      <w:r>
        <w:rPr>
          <w:rFonts w:hint="eastAsia" w:ascii="楷体" w:hAnsi="楷体" w:eastAsia="楷体" w:cs="楷体"/>
          <w:b/>
          <w:color w:val="000000"/>
          <w:kern w:val="0"/>
          <w:sz w:val="22"/>
          <w:szCs w:val="22"/>
          <w:lang w:val="en-US" w:eastAsia="zh-CN" w:bidi="ar"/>
        </w:rPr>
        <w:t>“十三五”时期的主要任务与举措</w:t>
      </w:r>
      <w:bookmarkEnd w:id="63"/>
      <w:bookmarkEnd w:id="64"/>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（1）整合资源，优化学科专业建设；</w:t>
      </w:r>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（2）深化教改，提高人才培养质量；</w:t>
      </w:r>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（3）引培结合，提升师资队伍水平；</w:t>
      </w:r>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（4）拓宽渠道，加大实验设备投入；</w:t>
      </w:r>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（5）深化融合，推进医教研一体化；</w:t>
      </w:r>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（6）加大投入，创造良好办学条件；</w:t>
      </w:r>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（7）建章立制，建立长效工作机制；</w:t>
      </w:r>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（8）加强党建，提供思想政治保证。</w:t>
      </w:r>
    </w:p>
    <w:p>
      <w:pPr>
        <w:pStyle w:val="9"/>
        <w:adjustRightInd w:val="0"/>
        <w:snapToGrid w:val="0"/>
        <w:spacing w:before="0" w:after="0" w:line="360" w:lineRule="auto"/>
        <w:ind w:firstLine="442" w:firstLineChars="200"/>
        <w:rPr>
          <w:rFonts w:hint="eastAsia" w:ascii="楷体" w:hAnsi="楷体" w:eastAsia="楷体" w:cs="楷体"/>
          <w:b/>
          <w:color w:val="000000"/>
          <w:kern w:val="0"/>
          <w:sz w:val="22"/>
          <w:szCs w:val="22"/>
          <w:lang w:val="en-US" w:eastAsia="zh-CN" w:bidi="ar"/>
        </w:rPr>
      </w:pPr>
      <w:bookmarkStart w:id="65" w:name="_Toc1989"/>
      <w:r>
        <w:rPr>
          <w:rFonts w:hint="eastAsia" w:ascii="楷体" w:hAnsi="楷体" w:eastAsia="楷体" w:cs="楷体"/>
          <w:b/>
          <w:color w:val="000000"/>
          <w:kern w:val="0"/>
          <w:sz w:val="22"/>
          <w:szCs w:val="22"/>
          <w:lang w:val="en-US" w:eastAsia="zh-CN" w:bidi="ar"/>
        </w:rPr>
        <w:t>16.需要持续改进的方面</w:t>
      </w:r>
      <w:bookmarkEnd w:id="65"/>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（1）进一步凝练临床医学专业办学理念</w:t>
      </w:r>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（2）继续深化课程计划与课程体系改革 </w:t>
      </w:r>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（3）持续推进教育教学改革，提高人才培养质量 </w:t>
      </w:r>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（4）进一步提升和完善临床医学专业学生学业成绩考核评价体系建设</w:t>
      </w:r>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（5）进一步提升学生工作的指导、管理和服务能力</w:t>
      </w:r>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（6）快速提升临床医学专业师资队伍水平</w:t>
      </w:r>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（7）不断提高与完善医学教育评价体系</w:t>
      </w:r>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（8）深化管理机制改革，实现医教协同目标</w:t>
      </w:r>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（9）切实加强附属医院建设</w:t>
      </w:r>
    </w:p>
    <w:p>
      <w:pPr>
        <w:pStyle w:val="9"/>
        <w:adjustRightInd w:val="0"/>
        <w:snapToGrid w:val="0"/>
        <w:spacing w:before="0" w:after="0" w:line="360" w:lineRule="auto"/>
        <w:jc w:val="center"/>
        <w:rPr>
          <w:rFonts w:hint="eastAsia" w:ascii="楷体" w:hAnsi="楷体" w:eastAsia="楷体" w:cs="楷体"/>
          <w:b/>
          <w:color w:val="000000"/>
          <w:kern w:val="0"/>
          <w:sz w:val="22"/>
          <w:szCs w:val="22"/>
          <w:lang w:val="en-US" w:eastAsia="zh-CN" w:bidi="ar"/>
        </w:rPr>
      </w:pPr>
      <w:r>
        <w:rPr>
          <w:rFonts w:hint="eastAsia" w:ascii="楷体" w:hAnsi="楷体" w:eastAsia="楷体" w:cs="楷体"/>
          <w:b/>
          <w:color w:val="000000"/>
          <w:kern w:val="0"/>
          <w:sz w:val="22"/>
          <w:szCs w:val="22"/>
          <w:lang w:val="en-US" w:eastAsia="zh-CN" w:bidi="ar"/>
        </w:rPr>
        <w:t>附表：成都大学医学院临床医学考研统计表（2017-2020）</w:t>
      </w:r>
    </w:p>
    <w:tbl>
      <w:tblPr>
        <w:tblStyle w:val="7"/>
        <w:tblW w:w="7980" w:type="dxa"/>
        <w:tblInd w:w="0" w:type="dxa"/>
        <w:shd w:val="clear" w:color="auto" w:fill="auto"/>
        <w:tblLayout w:type="autofit"/>
        <w:tblCellMar>
          <w:top w:w="0" w:type="dxa"/>
          <w:left w:w="0" w:type="dxa"/>
          <w:bottom w:w="0" w:type="dxa"/>
          <w:right w:w="0" w:type="dxa"/>
        </w:tblCellMar>
      </w:tblPr>
      <w:tblGrid>
        <w:gridCol w:w="677"/>
        <w:gridCol w:w="951"/>
        <w:gridCol w:w="1786"/>
        <w:gridCol w:w="2528"/>
        <w:gridCol w:w="2038"/>
      </w:tblGrid>
      <w:tr>
        <w:tblPrEx>
          <w:shd w:val="clear" w:color="auto" w:fill="auto"/>
          <w:tblCellMar>
            <w:top w:w="0" w:type="dxa"/>
            <w:left w:w="0" w:type="dxa"/>
            <w:bottom w:w="0" w:type="dxa"/>
            <w:right w:w="0" w:type="dxa"/>
          </w:tblCellMar>
        </w:tblPrEx>
        <w:trPr>
          <w:trHeight w:val="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15"/>
                <w:szCs w:val="15"/>
                <w:u w:val="none"/>
              </w:rPr>
            </w:pPr>
            <w:r>
              <w:rPr>
                <w:rFonts w:hint="eastAsia" w:ascii="宋体" w:hAnsi="宋体" w:eastAsia="宋体" w:cs="宋体"/>
                <w:b/>
                <w:bCs/>
                <w:i w:val="0"/>
                <w:color w:val="000000"/>
                <w:kern w:val="0"/>
                <w:sz w:val="15"/>
                <w:szCs w:val="15"/>
                <w:u w:val="none"/>
                <w:lang w:val="en-US" w:eastAsia="zh-CN" w:bidi="ar"/>
              </w:rPr>
              <w:t>序号</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15"/>
                <w:szCs w:val="15"/>
                <w:u w:val="none"/>
              </w:rPr>
            </w:pPr>
            <w:r>
              <w:rPr>
                <w:rFonts w:hint="eastAsia" w:ascii="宋体" w:hAnsi="宋体" w:eastAsia="宋体" w:cs="宋体"/>
                <w:b/>
                <w:bCs/>
                <w:i w:val="0"/>
                <w:color w:val="000000"/>
                <w:kern w:val="0"/>
                <w:sz w:val="15"/>
                <w:szCs w:val="15"/>
                <w:u w:val="none"/>
                <w:lang w:val="en-US" w:eastAsia="zh-CN" w:bidi="ar"/>
              </w:rPr>
              <w:t>姓名</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15"/>
                <w:szCs w:val="15"/>
                <w:u w:val="none"/>
              </w:rPr>
            </w:pPr>
            <w:r>
              <w:rPr>
                <w:rFonts w:hint="eastAsia" w:ascii="宋体" w:hAnsi="宋体" w:eastAsia="宋体" w:cs="宋体"/>
                <w:b/>
                <w:bCs/>
                <w:i w:val="0"/>
                <w:color w:val="000000"/>
                <w:kern w:val="0"/>
                <w:sz w:val="15"/>
                <w:szCs w:val="15"/>
                <w:u w:val="none"/>
                <w:lang w:val="en-US" w:eastAsia="zh-CN" w:bidi="ar"/>
              </w:rPr>
              <w:t>班级</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15"/>
                <w:szCs w:val="15"/>
                <w:u w:val="none"/>
              </w:rPr>
            </w:pPr>
            <w:r>
              <w:rPr>
                <w:rFonts w:hint="eastAsia" w:ascii="宋体" w:hAnsi="宋体" w:eastAsia="宋体" w:cs="宋体"/>
                <w:b/>
                <w:bCs/>
                <w:i w:val="0"/>
                <w:color w:val="000000"/>
                <w:kern w:val="0"/>
                <w:sz w:val="15"/>
                <w:szCs w:val="15"/>
                <w:u w:val="none"/>
                <w:lang w:val="en-US" w:eastAsia="zh-CN" w:bidi="ar"/>
              </w:rPr>
              <w:t>硕士就读学校</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15"/>
                <w:szCs w:val="15"/>
                <w:u w:val="none"/>
              </w:rPr>
            </w:pPr>
            <w:r>
              <w:rPr>
                <w:rFonts w:hint="eastAsia" w:ascii="宋体" w:hAnsi="宋体" w:eastAsia="宋体" w:cs="宋体"/>
                <w:b/>
                <w:bCs/>
                <w:i w:val="0"/>
                <w:color w:val="000000"/>
                <w:kern w:val="0"/>
                <w:sz w:val="15"/>
                <w:szCs w:val="15"/>
                <w:u w:val="none"/>
                <w:lang w:val="en-US" w:eastAsia="zh-CN" w:bidi="ar"/>
              </w:rPr>
              <w:t>专业</w:t>
            </w:r>
          </w:p>
        </w:tc>
      </w:tr>
      <w:tr>
        <w:tblPrEx>
          <w:tblCellMar>
            <w:top w:w="0" w:type="dxa"/>
            <w:left w:w="0" w:type="dxa"/>
            <w:bottom w:w="0" w:type="dxa"/>
            <w:right w:w="0" w:type="dxa"/>
          </w:tblCellMar>
        </w:tblPrEx>
        <w:trPr>
          <w:trHeight w:val="368"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黄毅</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2012级临床1班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中山大学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泌尿外科</w:t>
            </w:r>
          </w:p>
        </w:tc>
      </w:tr>
      <w:tr>
        <w:tblPrEx>
          <w:tblCellMar>
            <w:top w:w="0" w:type="dxa"/>
            <w:left w:w="0" w:type="dxa"/>
            <w:bottom w:w="0" w:type="dxa"/>
            <w:right w:w="0" w:type="dxa"/>
          </w:tblCellMar>
        </w:tblPrEx>
        <w:trPr>
          <w:trHeight w:val="378"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孙敏</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2012级临床1班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兰州大学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肾内科</w:t>
            </w:r>
          </w:p>
        </w:tc>
      </w:tr>
      <w:tr>
        <w:tblPrEx>
          <w:tblCellMar>
            <w:top w:w="0" w:type="dxa"/>
            <w:left w:w="0" w:type="dxa"/>
            <w:bottom w:w="0" w:type="dxa"/>
            <w:right w:w="0" w:type="dxa"/>
          </w:tblCellMar>
        </w:tblPrEx>
        <w:trPr>
          <w:trHeight w:val="357"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张薇</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2012级临床1班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重庆医科大学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呼吸内科</w:t>
            </w:r>
          </w:p>
        </w:tc>
      </w:tr>
      <w:tr>
        <w:tblPrEx>
          <w:tblCellMar>
            <w:top w:w="0" w:type="dxa"/>
            <w:left w:w="0" w:type="dxa"/>
            <w:bottom w:w="0" w:type="dxa"/>
            <w:right w:w="0" w:type="dxa"/>
          </w:tblCellMar>
        </w:tblPrEx>
        <w:trPr>
          <w:trHeight w:val="357"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陈芳</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2012级临床1班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昆明医科大学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肾内科</w:t>
            </w:r>
          </w:p>
        </w:tc>
      </w:tr>
      <w:tr>
        <w:tblPrEx>
          <w:tblCellMar>
            <w:top w:w="0" w:type="dxa"/>
            <w:left w:w="0" w:type="dxa"/>
            <w:bottom w:w="0" w:type="dxa"/>
            <w:right w:w="0" w:type="dxa"/>
          </w:tblCellMar>
        </w:tblPrEx>
        <w:trPr>
          <w:trHeight w:val="32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林彬</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2012级临床1班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昆明医科大学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泌尿外科</w:t>
            </w:r>
          </w:p>
        </w:tc>
      </w:tr>
      <w:tr>
        <w:tblPrEx>
          <w:tblCellMar>
            <w:top w:w="0" w:type="dxa"/>
            <w:left w:w="0" w:type="dxa"/>
            <w:bottom w:w="0" w:type="dxa"/>
            <w:right w:w="0" w:type="dxa"/>
          </w:tblCellMar>
        </w:tblPrEx>
        <w:trPr>
          <w:trHeight w:val="346"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张兴保</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2012级临床1班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昆明医科大学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泌尿外科</w:t>
            </w:r>
          </w:p>
        </w:tc>
      </w:tr>
      <w:tr>
        <w:tblPrEx>
          <w:tblCellMar>
            <w:top w:w="0" w:type="dxa"/>
            <w:left w:w="0" w:type="dxa"/>
            <w:bottom w:w="0" w:type="dxa"/>
            <w:right w:w="0" w:type="dxa"/>
          </w:tblCellMar>
        </w:tblPrEx>
        <w:trPr>
          <w:trHeight w:val="368"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苟鑫</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2012级临床1班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昆明医科大学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泌尿外科</w:t>
            </w:r>
          </w:p>
        </w:tc>
      </w:tr>
      <w:tr>
        <w:tblPrEx>
          <w:tblCellMar>
            <w:top w:w="0" w:type="dxa"/>
            <w:left w:w="0" w:type="dxa"/>
            <w:bottom w:w="0" w:type="dxa"/>
            <w:right w:w="0" w:type="dxa"/>
          </w:tblCellMar>
        </w:tblPrEx>
        <w:trPr>
          <w:trHeight w:val="379"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王守强</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2012级临床1班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昆明医科大学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泌尿外科</w:t>
            </w:r>
          </w:p>
        </w:tc>
      </w:tr>
      <w:tr>
        <w:tblPrEx>
          <w:tblCellMar>
            <w:top w:w="0" w:type="dxa"/>
            <w:left w:w="0" w:type="dxa"/>
            <w:bottom w:w="0" w:type="dxa"/>
            <w:right w:w="0" w:type="dxa"/>
          </w:tblCellMar>
        </w:tblPrEx>
        <w:trPr>
          <w:trHeight w:val="234"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熊兰芬</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2012级临床1班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遵义医学院</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内分泌科</w:t>
            </w:r>
          </w:p>
        </w:tc>
      </w:tr>
      <w:tr>
        <w:tblPrEx>
          <w:tblCellMar>
            <w:top w:w="0" w:type="dxa"/>
            <w:left w:w="0" w:type="dxa"/>
            <w:bottom w:w="0" w:type="dxa"/>
            <w:right w:w="0" w:type="dxa"/>
          </w:tblCellMar>
        </w:tblPrEx>
        <w:trPr>
          <w:trHeight w:val="379"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汤蜜</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2012级临床1班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遵义医学院</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再生医学</w:t>
            </w:r>
          </w:p>
        </w:tc>
      </w:tr>
      <w:tr>
        <w:tblPrEx>
          <w:tblCellMar>
            <w:top w:w="0" w:type="dxa"/>
            <w:left w:w="0" w:type="dxa"/>
            <w:bottom w:w="0" w:type="dxa"/>
            <w:right w:w="0" w:type="dxa"/>
          </w:tblCellMar>
        </w:tblPrEx>
        <w:trPr>
          <w:trHeight w:val="347"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曹磊</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2012级临床1班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兰州大学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泌尿外科</w:t>
            </w:r>
          </w:p>
        </w:tc>
      </w:tr>
      <w:tr>
        <w:tblPrEx>
          <w:tblCellMar>
            <w:top w:w="0" w:type="dxa"/>
            <w:left w:w="0" w:type="dxa"/>
            <w:bottom w:w="0" w:type="dxa"/>
            <w:right w:w="0" w:type="dxa"/>
          </w:tblCellMar>
        </w:tblPrEx>
        <w:trPr>
          <w:trHeight w:val="368"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黄秋阳</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2012级临床1班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西南医科大学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心内科</w:t>
            </w:r>
          </w:p>
        </w:tc>
      </w:tr>
      <w:tr>
        <w:tblPrEx>
          <w:tblCellMar>
            <w:top w:w="0" w:type="dxa"/>
            <w:left w:w="0" w:type="dxa"/>
            <w:bottom w:w="0" w:type="dxa"/>
            <w:right w:w="0" w:type="dxa"/>
          </w:tblCellMar>
        </w:tblPrEx>
        <w:trPr>
          <w:trHeight w:val="357"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施锦涛</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2013级临床1班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兰州大学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骨科学</w:t>
            </w:r>
          </w:p>
        </w:tc>
      </w:tr>
      <w:tr>
        <w:tblPrEx>
          <w:tblCellMar>
            <w:top w:w="0" w:type="dxa"/>
            <w:left w:w="0" w:type="dxa"/>
            <w:bottom w:w="0" w:type="dxa"/>
            <w:right w:w="0" w:type="dxa"/>
          </w:tblCellMar>
        </w:tblPrEx>
        <w:trPr>
          <w:trHeight w:val="379"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杨冬梅</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2013级临床1班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川北医学院</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医学检验学</w:t>
            </w:r>
          </w:p>
        </w:tc>
      </w:tr>
      <w:tr>
        <w:tblPrEx>
          <w:tblCellMar>
            <w:top w:w="0" w:type="dxa"/>
            <w:left w:w="0" w:type="dxa"/>
            <w:bottom w:w="0" w:type="dxa"/>
            <w:right w:w="0" w:type="dxa"/>
          </w:tblCellMar>
        </w:tblPrEx>
        <w:trPr>
          <w:trHeight w:val="39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唐远莉</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2013级临床1班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大连大学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急诊医学</w:t>
            </w:r>
          </w:p>
        </w:tc>
      </w:tr>
      <w:tr>
        <w:tblPrEx>
          <w:tblCellMar>
            <w:top w:w="0" w:type="dxa"/>
            <w:left w:w="0" w:type="dxa"/>
            <w:bottom w:w="0" w:type="dxa"/>
            <w:right w:w="0" w:type="dxa"/>
          </w:tblCellMar>
        </w:tblPrEx>
        <w:trPr>
          <w:trHeight w:val="357"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刘小龙</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2013级临床1班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兰州大学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骨科学</w:t>
            </w:r>
          </w:p>
        </w:tc>
      </w:tr>
      <w:tr>
        <w:tblPrEx>
          <w:tblCellMar>
            <w:top w:w="0" w:type="dxa"/>
            <w:left w:w="0" w:type="dxa"/>
            <w:bottom w:w="0" w:type="dxa"/>
            <w:right w:w="0" w:type="dxa"/>
          </w:tblCellMar>
        </w:tblPrEx>
        <w:trPr>
          <w:trHeight w:val="378"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徐尚沂</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2013级临床1班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西南医科大学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神经外科</w:t>
            </w:r>
          </w:p>
        </w:tc>
      </w:tr>
      <w:tr>
        <w:tblPrEx>
          <w:tblCellMar>
            <w:top w:w="0" w:type="dxa"/>
            <w:left w:w="0" w:type="dxa"/>
            <w:bottom w:w="0" w:type="dxa"/>
            <w:right w:w="0" w:type="dxa"/>
          </w:tblCellMar>
        </w:tblPrEx>
        <w:trPr>
          <w:trHeight w:val="347"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李青芸</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2013级临床1班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大连医科大学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内科学</w:t>
            </w:r>
          </w:p>
        </w:tc>
      </w:tr>
      <w:tr>
        <w:tblPrEx>
          <w:tblCellMar>
            <w:top w:w="0" w:type="dxa"/>
            <w:left w:w="0" w:type="dxa"/>
            <w:bottom w:w="0" w:type="dxa"/>
            <w:right w:w="0" w:type="dxa"/>
          </w:tblCellMar>
        </w:tblPrEx>
        <w:trPr>
          <w:trHeight w:val="378"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惠文波</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2013级临床1班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桂林医学院</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皮肤病与性病学</w:t>
            </w:r>
          </w:p>
        </w:tc>
      </w:tr>
      <w:tr>
        <w:tblPrEx>
          <w:tblCellMar>
            <w:top w:w="0" w:type="dxa"/>
            <w:left w:w="0" w:type="dxa"/>
            <w:bottom w:w="0" w:type="dxa"/>
            <w:right w:w="0" w:type="dxa"/>
          </w:tblCellMar>
        </w:tblPrEx>
        <w:trPr>
          <w:trHeight w:val="39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张星宇</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昆明医科大学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外科学</w:t>
            </w:r>
          </w:p>
        </w:tc>
      </w:tr>
      <w:tr>
        <w:tblPrEx>
          <w:tblCellMar>
            <w:top w:w="0" w:type="dxa"/>
            <w:left w:w="0" w:type="dxa"/>
            <w:bottom w:w="0" w:type="dxa"/>
            <w:right w:w="0" w:type="dxa"/>
          </w:tblCellMar>
        </w:tblPrEx>
        <w:trPr>
          <w:trHeight w:val="292"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童瑶</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遵义医科大学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皮肤病与性病学</w:t>
            </w:r>
          </w:p>
        </w:tc>
      </w:tr>
      <w:tr>
        <w:tblPrEx>
          <w:tblCellMar>
            <w:top w:w="0" w:type="dxa"/>
            <w:left w:w="0" w:type="dxa"/>
            <w:bottom w:w="0" w:type="dxa"/>
            <w:right w:w="0" w:type="dxa"/>
          </w:tblCellMar>
        </w:tblPrEx>
        <w:trPr>
          <w:trHeight w:val="303"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王秋霞</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遵义医科大学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内科学</w:t>
            </w:r>
          </w:p>
        </w:tc>
      </w:tr>
      <w:tr>
        <w:tblPrEx>
          <w:tblCellMar>
            <w:top w:w="0" w:type="dxa"/>
            <w:left w:w="0" w:type="dxa"/>
            <w:bottom w:w="0" w:type="dxa"/>
            <w:right w:w="0" w:type="dxa"/>
          </w:tblCellMar>
        </w:tblPrEx>
        <w:trPr>
          <w:trHeight w:val="39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周沙</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西南医科大学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儿科</w:t>
            </w:r>
          </w:p>
        </w:tc>
      </w:tr>
      <w:tr>
        <w:tblPrEx>
          <w:tblCellMar>
            <w:top w:w="0" w:type="dxa"/>
            <w:left w:w="0" w:type="dxa"/>
            <w:bottom w:w="0" w:type="dxa"/>
            <w:right w:w="0" w:type="dxa"/>
          </w:tblCellMar>
        </w:tblPrEx>
        <w:trPr>
          <w:trHeight w:val="282"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彭娇</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重庆医科大学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外科学</w:t>
            </w:r>
          </w:p>
        </w:tc>
      </w:tr>
      <w:tr>
        <w:tblPrEx>
          <w:tblCellMar>
            <w:top w:w="0" w:type="dxa"/>
            <w:left w:w="0" w:type="dxa"/>
            <w:bottom w:w="0" w:type="dxa"/>
            <w:right w:w="0" w:type="dxa"/>
          </w:tblCellMar>
        </w:tblPrEx>
        <w:trPr>
          <w:trHeight w:val="346"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郭静</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成都医学院</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康复科</w:t>
            </w:r>
          </w:p>
        </w:tc>
      </w:tr>
      <w:tr>
        <w:tblPrEx>
          <w:tblCellMar>
            <w:top w:w="0" w:type="dxa"/>
            <w:left w:w="0" w:type="dxa"/>
            <w:bottom w:w="0" w:type="dxa"/>
            <w:right w:w="0" w:type="dxa"/>
          </w:tblCellMar>
        </w:tblPrEx>
        <w:trPr>
          <w:trHeight w:val="389"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程琪森</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遵义医科大学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外科学</w:t>
            </w:r>
          </w:p>
        </w:tc>
      </w:tr>
      <w:tr>
        <w:tblPrEx>
          <w:tblCellMar>
            <w:top w:w="0" w:type="dxa"/>
            <w:left w:w="0" w:type="dxa"/>
            <w:bottom w:w="0" w:type="dxa"/>
            <w:right w:w="0" w:type="dxa"/>
          </w:tblCellMar>
        </w:tblPrEx>
        <w:trPr>
          <w:trHeight w:val="314"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陈静伊</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西南医科大学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内科学</w:t>
            </w:r>
          </w:p>
        </w:tc>
      </w:tr>
      <w:tr>
        <w:tblPrEx>
          <w:tblCellMar>
            <w:top w:w="0" w:type="dxa"/>
            <w:left w:w="0" w:type="dxa"/>
            <w:bottom w:w="0" w:type="dxa"/>
            <w:right w:w="0" w:type="dxa"/>
          </w:tblCellMar>
        </w:tblPrEx>
        <w:trPr>
          <w:trHeight w:val="32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刘玉萍</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川北医学院</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老年医学</w:t>
            </w:r>
          </w:p>
        </w:tc>
      </w:tr>
      <w:tr>
        <w:tblPrEx>
          <w:tblCellMar>
            <w:top w:w="0" w:type="dxa"/>
            <w:left w:w="0" w:type="dxa"/>
            <w:bottom w:w="0" w:type="dxa"/>
            <w:right w:w="0" w:type="dxa"/>
          </w:tblCellMar>
        </w:tblPrEx>
        <w:trPr>
          <w:trHeight w:val="323"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29</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黄姣</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成都医学院</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妇产科</w:t>
            </w:r>
          </w:p>
        </w:tc>
      </w:tr>
      <w:tr>
        <w:tblPrEx>
          <w:tblCellMar>
            <w:top w:w="0" w:type="dxa"/>
            <w:left w:w="0" w:type="dxa"/>
            <w:bottom w:w="0" w:type="dxa"/>
            <w:right w:w="0" w:type="dxa"/>
          </w:tblCellMar>
        </w:tblPrEx>
        <w:trPr>
          <w:trHeight w:val="347"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衡鑫</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西南医科大学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内科学</w:t>
            </w:r>
          </w:p>
        </w:tc>
      </w:tr>
      <w:tr>
        <w:tblPrEx>
          <w:tblCellMar>
            <w:top w:w="0" w:type="dxa"/>
            <w:left w:w="0" w:type="dxa"/>
            <w:bottom w:w="0" w:type="dxa"/>
            <w:right w:w="0" w:type="dxa"/>
          </w:tblCellMar>
        </w:tblPrEx>
        <w:trPr>
          <w:trHeight w:val="303"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高玉莲</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遵义医科大学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皮肤病与性病学</w:t>
            </w:r>
          </w:p>
        </w:tc>
      </w:tr>
      <w:tr>
        <w:tblPrEx>
          <w:tblCellMar>
            <w:top w:w="0" w:type="dxa"/>
            <w:left w:w="0" w:type="dxa"/>
            <w:bottom w:w="0" w:type="dxa"/>
            <w:right w:w="0" w:type="dxa"/>
          </w:tblCellMar>
        </w:tblPrEx>
        <w:trPr>
          <w:trHeight w:val="33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32</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杨港</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陕西中医药大学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内科学</w:t>
            </w:r>
          </w:p>
        </w:tc>
      </w:tr>
      <w:tr>
        <w:tblPrEx>
          <w:tblCellMar>
            <w:top w:w="0" w:type="dxa"/>
            <w:left w:w="0" w:type="dxa"/>
            <w:bottom w:w="0" w:type="dxa"/>
            <w:right w:w="0" w:type="dxa"/>
          </w:tblCellMar>
        </w:tblPrEx>
        <w:trPr>
          <w:trHeight w:val="284"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33</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陈丽君</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川北医学院</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老年医学</w:t>
            </w:r>
          </w:p>
        </w:tc>
      </w:tr>
      <w:tr>
        <w:tblPrEx>
          <w:tblCellMar>
            <w:top w:w="0" w:type="dxa"/>
            <w:left w:w="0" w:type="dxa"/>
            <w:bottom w:w="0" w:type="dxa"/>
            <w:right w:w="0" w:type="dxa"/>
          </w:tblCellMar>
        </w:tblPrEx>
        <w:trPr>
          <w:trHeight w:val="358"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34</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刘月</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2014级临床2班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北京大学医学部</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内科学</w:t>
            </w:r>
          </w:p>
        </w:tc>
      </w:tr>
      <w:tr>
        <w:tblPrEx>
          <w:tblCellMar>
            <w:top w:w="0" w:type="dxa"/>
            <w:left w:w="0" w:type="dxa"/>
            <w:bottom w:w="0" w:type="dxa"/>
            <w:right w:w="0" w:type="dxa"/>
          </w:tblCellMar>
        </w:tblPrEx>
        <w:trPr>
          <w:trHeight w:val="324"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陶依林</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2014级临床2班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中南大学湘雅附二医院</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肾内科</w:t>
            </w:r>
          </w:p>
        </w:tc>
      </w:tr>
      <w:tr>
        <w:tblPrEx>
          <w:tblCellMar>
            <w:top w:w="0" w:type="dxa"/>
            <w:left w:w="0" w:type="dxa"/>
            <w:bottom w:w="0" w:type="dxa"/>
            <w:right w:w="0" w:type="dxa"/>
          </w:tblCellMar>
        </w:tblPrEx>
        <w:trPr>
          <w:trHeight w:val="347"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36</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王姗</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2014级临床2班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川北医学院</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康复科</w:t>
            </w:r>
          </w:p>
        </w:tc>
      </w:tr>
      <w:tr>
        <w:tblPrEx>
          <w:tblCellMar>
            <w:top w:w="0" w:type="dxa"/>
            <w:left w:w="0" w:type="dxa"/>
            <w:bottom w:w="0" w:type="dxa"/>
            <w:right w:w="0" w:type="dxa"/>
          </w:tblCellMar>
        </w:tblPrEx>
        <w:trPr>
          <w:trHeight w:val="336"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37</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周杰</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2014级临床2班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昆明医科大学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皮肤科</w:t>
            </w:r>
          </w:p>
        </w:tc>
      </w:tr>
      <w:tr>
        <w:tblPrEx>
          <w:tblCellMar>
            <w:top w:w="0" w:type="dxa"/>
            <w:left w:w="0" w:type="dxa"/>
            <w:bottom w:w="0" w:type="dxa"/>
            <w:right w:w="0" w:type="dxa"/>
          </w:tblCellMar>
        </w:tblPrEx>
        <w:trPr>
          <w:trHeight w:val="314"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晏浩翔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2014级临床2班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西南医科大学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皮肤与性病学</w:t>
            </w:r>
          </w:p>
        </w:tc>
      </w:tr>
      <w:tr>
        <w:tblPrEx>
          <w:tblCellMar>
            <w:top w:w="0" w:type="dxa"/>
            <w:left w:w="0" w:type="dxa"/>
            <w:bottom w:w="0" w:type="dxa"/>
            <w:right w:w="0" w:type="dxa"/>
          </w:tblCellMar>
        </w:tblPrEx>
        <w:trPr>
          <w:trHeight w:val="31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鲁瀚嵘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2014级临床2班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重庆医科大学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儿科</w:t>
            </w:r>
          </w:p>
        </w:tc>
      </w:tr>
      <w:tr>
        <w:tblPrEx>
          <w:tblCellMar>
            <w:top w:w="0" w:type="dxa"/>
            <w:left w:w="0" w:type="dxa"/>
            <w:bottom w:w="0" w:type="dxa"/>
            <w:right w:w="0" w:type="dxa"/>
          </w:tblCellMar>
        </w:tblPrEx>
        <w:trPr>
          <w:trHeight w:val="211"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李嘉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2014级临床2班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遵义医科大学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泌尿外科</w:t>
            </w:r>
          </w:p>
        </w:tc>
      </w:tr>
      <w:tr>
        <w:tblPrEx>
          <w:tblCellMar>
            <w:top w:w="0" w:type="dxa"/>
            <w:left w:w="0" w:type="dxa"/>
            <w:bottom w:w="0" w:type="dxa"/>
            <w:right w:w="0" w:type="dxa"/>
          </w:tblCellMar>
        </w:tblPrEx>
        <w:trPr>
          <w:trHeight w:val="231"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41</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江红丽</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2014级临床2班</w:t>
            </w:r>
          </w:p>
        </w:tc>
        <w:tc>
          <w:tcPr>
            <w:tcW w:w="2528"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中南大学</w:t>
            </w:r>
          </w:p>
        </w:tc>
        <w:tc>
          <w:tcPr>
            <w:tcW w:w="2038"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内分泌</w:t>
            </w:r>
          </w:p>
        </w:tc>
      </w:tr>
      <w:tr>
        <w:tblPrEx>
          <w:tblCellMar>
            <w:top w:w="0" w:type="dxa"/>
            <w:left w:w="0" w:type="dxa"/>
            <w:bottom w:w="0" w:type="dxa"/>
            <w:right w:w="0" w:type="dxa"/>
          </w:tblCellMar>
        </w:tblPrEx>
        <w:trPr>
          <w:trHeight w:val="33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42</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常聪</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2014级临床2班</w:t>
            </w:r>
          </w:p>
        </w:tc>
        <w:tc>
          <w:tcPr>
            <w:tcW w:w="2528"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成都医学院</w:t>
            </w:r>
          </w:p>
        </w:tc>
        <w:tc>
          <w:tcPr>
            <w:tcW w:w="2038"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康复医学</w:t>
            </w:r>
          </w:p>
        </w:tc>
      </w:tr>
      <w:tr>
        <w:tblPrEx>
          <w:tblCellMar>
            <w:top w:w="0" w:type="dxa"/>
            <w:left w:w="0" w:type="dxa"/>
            <w:bottom w:w="0" w:type="dxa"/>
            <w:right w:w="0" w:type="dxa"/>
          </w:tblCellMar>
        </w:tblPrEx>
        <w:trPr>
          <w:trHeight w:val="153"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43</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张惠</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2014级临床2班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川北医学院</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风湿免疫</w:t>
            </w:r>
          </w:p>
        </w:tc>
      </w:tr>
      <w:tr>
        <w:tblPrEx>
          <w:tblCellMar>
            <w:top w:w="0" w:type="dxa"/>
            <w:left w:w="0" w:type="dxa"/>
            <w:bottom w:w="0" w:type="dxa"/>
            <w:right w:w="0" w:type="dxa"/>
          </w:tblCellMar>
        </w:tblPrEx>
        <w:trPr>
          <w:trHeight w:val="237"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44</w:t>
            </w:r>
          </w:p>
        </w:tc>
        <w:tc>
          <w:tcPr>
            <w:tcW w:w="9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王德琼</w:t>
            </w:r>
          </w:p>
        </w:tc>
        <w:tc>
          <w:tcPr>
            <w:tcW w:w="1786"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2014级临床2班</w:t>
            </w:r>
          </w:p>
        </w:tc>
        <w:tc>
          <w:tcPr>
            <w:tcW w:w="252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西南交通大学</w:t>
            </w:r>
          </w:p>
        </w:tc>
        <w:tc>
          <w:tcPr>
            <w:tcW w:w="203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内科学</w:t>
            </w:r>
          </w:p>
        </w:tc>
      </w:tr>
      <w:tr>
        <w:tblPrEx>
          <w:tblCellMar>
            <w:top w:w="0" w:type="dxa"/>
            <w:left w:w="0" w:type="dxa"/>
            <w:bottom w:w="0" w:type="dxa"/>
            <w:right w:w="0" w:type="dxa"/>
          </w:tblCellMar>
        </w:tblPrEx>
        <w:trPr>
          <w:trHeight w:val="282"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胡家锐</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2015级临床1班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电子科技大学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风湿免疫科</w:t>
            </w:r>
          </w:p>
        </w:tc>
      </w:tr>
      <w:tr>
        <w:tblPrEx>
          <w:tblCellMar>
            <w:top w:w="0" w:type="dxa"/>
            <w:left w:w="0" w:type="dxa"/>
            <w:bottom w:w="0" w:type="dxa"/>
            <w:right w:w="0" w:type="dxa"/>
          </w:tblCellMar>
        </w:tblPrEx>
        <w:trPr>
          <w:trHeight w:val="303"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万世芳</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2015级临床1班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南方医科大学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皮肤性病学</w:t>
            </w:r>
          </w:p>
        </w:tc>
      </w:tr>
      <w:tr>
        <w:tblPrEx>
          <w:tblCellMar>
            <w:top w:w="0" w:type="dxa"/>
            <w:left w:w="0" w:type="dxa"/>
            <w:bottom w:w="0" w:type="dxa"/>
            <w:right w:w="0" w:type="dxa"/>
          </w:tblCellMar>
        </w:tblPrEx>
        <w:trPr>
          <w:trHeight w:val="26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钱思佳</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2015级临床1班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锦州医科大学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心血管内科</w:t>
            </w:r>
          </w:p>
        </w:tc>
      </w:tr>
      <w:tr>
        <w:tblPrEx>
          <w:tblCellMar>
            <w:top w:w="0" w:type="dxa"/>
            <w:left w:w="0" w:type="dxa"/>
            <w:bottom w:w="0" w:type="dxa"/>
            <w:right w:w="0" w:type="dxa"/>
          </w:tblCellMar>
        </w:tblPrEx>
        <w:trPr>
          <w:trHeight w:val="239"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罗敏</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2015级临床1班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西南医科大学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内科学</w:t>
            </w:r>
          </w:p>
        </w:tc>
      </w:tr>
      <w:tr>
        <w:tblPrEx>
          <w:tblCellMar>
            <w:top w:w="0" w:type="dxa"/>
            <w:left w:w="0" w:type="dxa"/>
            <w:bottom w:w="0" w:type="dxa"/>
            <w:right w:w="0" w:type="dxa"/>
          </w:tblCellMar>
        </w:tblPrEx>
        <w:trPr>
          <w:trHeight w:val="282"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倪双洋</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2015级临床1班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西安医学院</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外科学</w:t>
            </w:r>
          </w:p>
        </w:tc>
      </w:tr>
      <w:tr>
        <w:tblPrEx>
          <w:tblCellMar>
            <w:top w:w="0" w:type="dxa"/>
            <w:left w:w="0" w:type="dxa"/>
            <w:bottom w:w="0" w:type="dxa"/>
            <w:right w:w="0" w:type="dxa"/>
          </w:tblCellMar>
        </w:tblPrEx>
        <w:trPr>
          <w:trHeight w:val="217"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李雪</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2015级临床1班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重庆医科大学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内科学</w:t>
            </w:r>
          </w:p>
        </w:tc>
      </w:tr>
      <w:tr>
        <w:tblPrEx>
          <w:tblCellMar>
            <w:top w:w="0" w:type="dxa"/>
            <w:left w:w="0" w:type="dxa"/>
            <w:bottom w:w="0" w:type="dxa"/>
            <w:right w:w="0" w:type="dxa"/>
          </w:tblCellMar>
        </w:tblPrEx>
        <w:trPr>
          <w:trHeight w:val="239"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雷子叶</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2015级临床2班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西南医科大学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神经病学</w:t>
            </w:r>
          </w:p>
        </w:tc>
      </w:tr>
      <w:tr>
        <w:tblPrEx>
          <w:tblCellMar>
            <w:top w:w="0" w:type="dxa"/>
            <w:left w:w="0" w:type="dxa"/>
            <w:bottom w:w="0" w:type="dxa"/>
            <w:right w:w="0" w:type="dxa"/>
          </w:tblCellMar>
        </w:tblPrEx>
        <w:trPr>
          <w:trHeight w:val="293"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彭正伟</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2015级临床2班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西南医科大学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外科学</w:t>
            </w:r>
          </w:p>
        </w:tc>
      </w:tr>
      <w:tr>
        <w:tblPrEx>
          <w:tblCellMar>
            <w:top w:w="0" w:type="dxa"/>
            <w:left w:w="0" w:type="dxa"/>
            <w:bottom w:w="0" w:type="dxa"/>
            <w:right w:w="0" w:type="dxa"/>
          </w:tblCellMar>
        </w:tblPrEx>
        <w:trPr>
          <w:trHeight w:val="206"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郑思雨</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2015级临床2班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甘肃中医药大学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眼科学</w:t>
            </w:r>
          </w:p>
        </w:tc>
      </w:tr>
      <w:tr>
        <w:tblPrEx>
          <w:tblCellMar>
            <w:top w:w="0" w:type="dxa"/>
            <w:left w:w="0" w:type="dxa"/>
            <w:bottom w:w="0" w:type="dxa"/>
            <w:right w:w="0" w:type="dxa"/>
          </w:tblCellMar>
        </w:tblPrEx>
        <w:trPr>
          <w:trHeight w:val="261"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姜永杰</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2015级临床2班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川北医学院</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内科学</w:t>
            </w:r>
          </w:p>
        </w:tc>
      </w:tr>
      <w:tr>
        <w:tblPrEx>
          <w:tblCellMar>
            <w:top w:w="0" w:type="dxa"/>
            <w:left w:w="0" w:type="dxa"/>
            <w:bottom w:w="0" w:type="dxa"/>
            <w:right w:w="0" w:type="dxa"/>
          </w:tblCellMar>
        </w:tblPrEx>
        <w:trPr>
          <w:trHeight w:val="292"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石霜铭</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2015级临床2班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中山大学</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神经病学</w:t>
            </w:r>
          </w:p>
        </w:tc>
      </w:tr>
      <w:tr>
        <w:tblPrEx>
          <w:tblCellMar>
            <w:top w:w="0" w:type="dxa"/>
            <w:left w:w="0" w:type="dxa"/>
            <w:bottom w:w="0" w:type="dxa"/>
            <w:right w:w="0" w:type="dxa"/>
          </w:tblCellMar>
        </w:tblPrEx>
        <w:trPr>
          <w:trHeight w:val="26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刘芳君</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2015级临床2班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成都医学院</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公共卫生</w:t>
            </w:r>
          </w:p>
        </w:tc>
      </w:tr>
      <w:tr>
        <w:tblPrEx>
          <w:tblCellMar>
            <w:top w:w="0" w:type="dxa"/>
            <w:left w:w="0" w:type="dxa"/>
            <w:bottom w:w="0" w:type="dxa"/>
            <w:right w:w="0" w:type="dxa"/>
          </w:tblCellMar>
        </w:tblPrEx>
        <w:trPr>
          <w:trHeight w:val="290"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刘建华</w:t>
            </w:r>
          </w:p>
        </w:tc>
        <w:tc>
          <w:tcPr>
            <w:tcW w:w="1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2015级临床2班</w:t>
            </w:r>
          </w:p>
        </w:tc>
        <w:tc>
          <w:tcPr>
            <w:tcW w:w="2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长治医学院</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内科学</w:t>
            </w:r>
          </w:p>
        </w:tc>
      </w:tr>
    </w:tbl>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p>
    <w:p>
      <w:pPr>
        <w:pStyle w:val="9"/>
        <w:adjustRightInd w:val="0"/>
        <w:snapToGrid w:val="0"/>
        <w:spacing w:before="0" w:after="0" w:line="360" w:lineRule="auto"/>
        <w:ind w:firstLine="420" w:firstLineChars="200"/>
        <w:rPr>
          <w:rFonts w:hint="eastAsia" w:ascii="宋体" w:hAnsi="宋体" w:eastAsia="宋体" w:cs="宋体"/>
          <w:color w:val="000000"/>
          <w:kern w:val="0"/>
          <w:sz w:val="21"/>
          <w:szCs w:val="21"/>
          <w:lang w:val="en-US" w:eastAsia="zh-CN" w:bidi="ar"/>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BCF0AB"/>
    <w:multiLevelType w:val="singleLevel"/>
    <w:tmpl w:val="8DBCF0AB"/>
    <w:lvl w:ilvl="0" w:tentative="0">
      <w:start w:val="10"/>
      <w:numFmt w:val="decimal"/>
      <w:lvlText w:val="%1."/>
      <w:lvlJc w:val="left"/>
      <w:pPr>
        <w:tabs>
          <w:tab w:val="left" w:pos="312"/>
        </w:tabs>
      </w:pPr>
    </w:lvl>
  </w:abstractNum>
  <w:abstractNum w:abstractNumId="1">
    <w:nsid w:val="B802887F"/>
    <w:multiLevelType w:val="singleLevel"/>
    <w:tmpl w:val="B802887F"/>
    <w:lvl w:ilvl="0" w:tentative="0">
      <w:start w:val="4"/>
      <w:numFmt w:val="decimal"/>
      <w:lvlText w:val="%1."/>
      <w:lvlJc w:val="left"/>
      <w:pPr>
        <w:tabs>
          <w:tab w:val="left" w:pos="312"/>
        </w:tabs>
      </w:pPr>
    </w:lvl>
  </w:abstractNum>
  <w:abstractNum w:abstractNumId="2">
    <w:nsid w:val="D5602430"/>
    <w:multiLevelType w:val="singleLevel"/>
    <w:tmpl w:val="D5602430"/>
    <w:lvl w:ilvl="0" w:tentative="0">
      <w:start w:val="1"/>
      <w:numFmt w:val="decimal"/>
      <w:suff w:val="space"/>
      <w:lvlText w:val="%1."/>
      <w:lvlJc w:val="left"/>
    </w:lvl>
  </w:abstractNum>
  <w:abstractNum w:abstractNumId="3">
    <w:nsid w:val="F8F3332D"/>
    <w:multiLevelType w:val="singleLevel"/>
    <w:tmpl w:val="F8F3332D"/>
    <w:lvl w:ilvl="0" w:tentative="0">
      <w:start w:val="8"/>
      <w:numFmt w:val="decimal"/>
      <w:lvlText w:val="%1."/>
      <w:lvlJc w:val="left"/>
      <w:pPr>
        <w:tabs>
          <w:tab w:val="left" w:pos="312"/>
        </w:tabs>
      </w:pPr>
    </w:lvl>
  </w:abstractNum>
  <w:abstractNum w:abstractNumId="4">
    <w:nsid w:val="0BFB6E87"/>
    <w:multiLevelType w:val="singleLevel"/>
    <w:tmpl w:val="0BFB6E87"/>
    <w:lvl w:ilvl="0" w:tentative="0">
      <w:start w:val="1"/>
      <w:numFmt w:val="chineseCounting"/>
      <w:suff w:val="space"/>
      <w:lvlText w:val="第%1部分"/>
      <w:lvlJc w:val="left"/>
      <w:rPr>
        <w:rFonts w:hint="eastAsia"/>
      </w:rPr>
    </w:lvl>
  </w:abstractNum>
  <w:abstractNum w:abstractNumId="5">
    <w:nsid w:val="685E2BD7"/>
    <w:multiLevelType w:val="singleLevel"/>
    <w:tmpl w:val="685E2BD7"/>
    <w:lvl w:ilvl="0" w:tentative="0">
      <w:start w:val="15"/>
      <w:numFmt w:val="decimal"/>
      <w:lvlText w:val="%1."/>
      <w:lvlJc w:val="left"/>
      <w:pPr>
        <w:tabs>
          <w:tab w:val="left" w:pos="312"/>
        </w:tabs>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E2452"/>
    <w:rsid w:val="0029130F"/>
    <w:rsid w:val="007E2B8F"/>
    <w:rsid w:val="08685736"/>
    <w:rsid w:val="0C770EDF"/>
    <w:rsid w:val="155A6A71"/>
    <w:rsid w:val="1E52495A"/>
    <w:rsid w:val="1E8446A3"/>
    <w:rsid w:val="21FC43DD"/>
    <w:rsid w:val="2DFD4754"/>
    <w:rsid w:val="34EF5BC6"/>
    <w:rsid w:val="38B75AC8"/>
    <w:rsid w:val="3EC72CA4"/>
    <w:rsid w:val="41CE7407"/>
    <w:rsid w:val="43AA5DDC"/>
    <w:rsid w:val="463E5B7A"/>
    <w:rsid w:val="484E3325"/>
    <w:rsid w:val="4B8F4427"/>
    <w:rsid w:val="4DC47494"/>
    <w:rsid w:val="4EB742B7"/>
    <w:rsid w:val="5C9E2452"/>
    <w:rsid w:val="62333B15"/>
    <w:rsid w:val="67045D8D"/>
    <w:rsid w:val="6F4E5937"/>
    <w:rsid w:val="712B267E"/>
    <w:rsid w:val="78FA1F76"/>
    <w:rsid w:val="7A21723A"/>
    <w:rsid w:val="7E9446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uiPriority w:val="0"/>
  </w:style>
  <w:style w:type="paragraph" w:styleId="6">
    <w:name w:val="toc 2"/>
    <w:basedOn w:val="1"/>
    <w:next w:val="1"/>
    <w:uiPriority w:val="0"/>
    <w:pPr>
      <w:ind w:left="420" w:leftChars="200"/>
    </w:pPr>
  </w:style>
  <w:style w:type="paragraph" w:customStyle="1" w:styleId="9">
    <w:name w:val="Normal_10"/>
    <w:qFormat/>
    <w:uiPriority w:val="0"/>
    <w:pPr>
      <w:spacing w:before="120" w:after="240"/>
      <w:jc w:val="both"/>
    </w:pPr>
    <w:rPr>
      <w:rFonts w:ascii="Calibri" w:hAnsi="Calibri" w:eastAsia="宋体" w:cs="Times New Roman"/>
      <w:kern w:val="0"/>
      <w:sz w:val="22"/>
      <w:szCs w:val="22"/>
      <w:lang w:val="en-US" w:eastAsia="en-US" w:bidi="ar-SA"/>
    </w:rPr>
  </w:style>
  <w:style w:type="paragraph" w:customStyle="1" w:styleId="10">
    <w:name w:val="Normal_11"/>
    <w:qFormat/>
    <w:uiPriority w:val="0"/>
    <w:pPr>
      <w:spacing w:before="120" w:after="240"/>
      <w:jc w:val="both"/>
    </w:pPr>
    <w:rPr>
      <w:rFonts w:ascii="Calibri" w:hAnsi="Calibri" w:eastAsia="宋体" w:cs="Times New Roman"/>
      <w:kern w:val="0"/>
      <w:sz w:val="22"/>
      <w:szCs w:val="22"/>
      <w:lang w:val="en-US" w:eastAsia="en-US" w:bidi="ar-SA"/>
    </w:rPr>
  </w:style>
  <w:style w:type="paragraph" w:customStyle="1" w:styleId="11">
    <w:name w:val="Normal_9"/>
    <w:qFormat/>
    <w:uiPriority w:val="0"/>
    <w:pPr>
      <w:spacing w:before="120" w:after="240"/>
      <w:jc w:val="both"/>
    </w:pPr>
    <w:rPr>
      <w:rFonts w:ascii="Calibri" w:hAnsi="Calibri" w:eastAsia="宋体" w:cs="Times New Roman"/>
      <w:kern w:val="0"/>
      <w:sz w:val="22"/>
      <w:szCs w:val="22"/>
      <w:lang w:val="en-US" w:eastAsia="en-US" w:bidi="ar-SA"/>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WPSOffice手动目录 2"/>
    <w:qFormat/>
    <w:uiPriority w:val="0"/>
    <w:pPr>
      <w:ind w:leftChars="200"/>
    </w:pPr>
    <w:rPr>
      <w:rFonts w:ascii="Times New Roman" w:hAnsi="Times New Roman" w:eastAsia="宋体" w:cs="Times New Roman"/>
      <w:sz w:val="20"/>
      <w:szCs w:val="20"/>
    </w:rPr>
  </w:style>
  <w:style w:type="paragraph" w:customStyle="1" w:styleId="14">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2020-09-20T03:28:00Z</dcterms:created>
  <dc:creator>Hellen</dc:creator>
  <cp:lastModifiedBy>Hellen</cp:lastModifiedBy>
  <cp:lastPrinted>2020-09-20T04:40:00Z</cp:lastPrinted>
  <dcterms:modified xsi:type="dcterms:W3CDTF">2020-09-20T06:53:32Z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